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20" w:after="120" w:line="360"/>
        <w:ind w:right="0" w:left="0" w:firstLine="0"/>
        <w:jc w:val="center"/>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Obywatelstwo Unii Europejskiej</w:t>
      </w:r>
    </w:p>
    <w:p>
      <w:pPr>
        <w:spacing w:before="120" w:after="120" w:line="360"/>
        <w:ind w:right="0" w:left="0" w:firstLine="0"/>
        <w:jc w:val="both"/>
        <w:rPr>
          <w:rFonts w:ascii="Arial" w:hAnsi="Arial" w:cs="Arial" w:eastAsia="Arial"/>
          <w:color w:val="auto"/>
          <w:spacing w:val="0"/>
          <w:position w:val="0"/>
          <w:sz w:val="24"/>
          <w:shd w:fill="FFFFFF" w:val="clear"/>
        </w:rPr>
      </w:pPr>
    </w:p>
    <w:p>
      <w:pPr>
        <w:spacing w:before="120" w:after="12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Idea obywatelstwa europejskiego pojawiła się po raz pierwszy w 1947 roku, ale wprowadzona w życie została </w:t>
      </w:r>
      <w:hyperlink xmlns:r="http://schemas.openxmlformats.org/officeDocument/2006/relationships" r:id="docRId0">
        <w:r>
          <w:rPr>
            <w:rFonts w:ascii="Arial" w:hAnsi="Arial" w:cs="Arial" w:eastAsia="Arial"/>
            <w:color w:val="auto"/>
            <w:spacing w:val="0"/>
            <w:position w:val="0"/>
            <w:sz w:val="24"/>
            <w:shd w:fill="FFFFFF" w:val="clear"/>
          </w:rPr>
          <w:t xml:space="preserve">traktatem z </w:t>
        </w:r>
        <w:r>
          <w:rPr>
            <w:rFonts w:ascii="Arial" w:hAnsi="Arial" w:cs="Arial" w:eastAsia="Arial"/>
            <w:vanish/>
            <w:color w:val="auto"/>
            <w:spacing w:val="0"/>
            <w:position w:val="0"/>
            <w:sz w:val="24"/>
            <w:shd w:fill="FFFFFF" w:val="clear"/>
          </w:rPr>
          <w:t xml:space="preserve">HYPERLINK "https://pl.wikipedia.org/wiki/Traktat_z_Maastricht"</w:t>
        </w:r>
        <w:r>
          <w:rPr>
            <w:rFonts w:ascii="Arial" w:hAnsi="Arial" w:cs="Arial" w:eastAsia="Arial"/>
            <w:color w:val="auto"/>
            <w:spacing w:val="0"/>
            <w:position w:val="0"/>
            <w:sz w:val="24"/>
            <w:shd w:fill="FFFFFF" w:val="clear"/>
          </w:rPr>
          <w:t xml:space="preserve">Maastricht</w:t>
        </w:r>
      </w:hyperlink>
      <w:r>
        <w:rPr>
          <w:rFonts w:ascii="Arial" w:hAnsi="Arial" w:cs="Arial" w:eastAsia="Arial"/>
          <w:color w:val="auto"/>
          <w:spacing w:val="0"/>
          <w:position w:val="0"/>
          <w:sz w:val="24"/>
          <w:shd w:fill="FFFFFF" w:val="clear"/>
        </w:rPr>
        <w:t xml:space="preserve">. Obowiązuje od wejścia w życie </w:t>
      </w:r>
      <w:hyperlink xmlns:r="http://schemas.openxmlformats.org/officeDocument/2006/relationships" r:id="docRId1">
        <w:r>
          <w:rPr>
            <w:rFonts w:ascii="Arial" w:hAnsi="Arial" w:cs="Arial" w:eastAsia="Arial"/>
            <w:color w:val="auto"/>
            <w:spacing w:val="0"/>
            <w:position w:val="0"/>
            <w:sz w:val="24"/>
            <w:shd w:fill="FFFFFF" w:val="clear"/>
          </w:rPr>
          <w:t xml:space="preserve">traktatu lizbońskiego</w:t>
        </w:r>
      </w:hyperlink>
      <w:r>
        <w:rPr>
          <w:rFonts w:ascii="Arial" w:hAnsi="Arial" w:cs="Arial" w:eastAsia="Arial"/>
          <w:color w:val="auto"/>
          <w:spacing w:val="0"/>
          <w:position w:val="0"/>
          <w:sz w:val="24"/>
          <w:shd w:fill="FFFFFF" w:val="clear"/>
        </w:rPr>
        <w:t xml:space="preserve">, tj. 1 grudnia 2009 roku, wraz z którym </w:t>
      </w:r>
      <w:hyperlink xmlns:r="http://schemas.openxmlformats.org/officeDocument/2006/relationships" r:id="docRId2">
        <w:r>
          <w:rPr>
            <w:rFonts w:ascii="Arial" w:hAnsi="Arial" w:cs="Arial" w:eastAsia="Arial"/>
            <w:color w:val="auto"/>
            <w:spacing w:val="0"/>
            <w:position w:val="0"/>
            <w:sz w:val="24"/>
            <w:shd w:fill="FFFFFF" w:val="clear"/>
          </w:rPr>
          <w:t xml:space="preserve">Karta Praw Podstawowych UE</w:t>
        </w:r>
      </w:hyperlink>
      <w:r>
        <w:rPr>
          <w:rFonts w:ascii="Arial" w:hAnsi="Arial" w:cs="Arial" w:eastAsia="Arial"/>
          <w:color w:val="auto"/>
          <w:spacing w:val="0"/>
          <w:position w:val="0"/>
          <w:sz w:val="24"/>
          <w:shd w:fill="FFFFFF" w:val="clear"/>
        </w:rPr>
        <w:t xml:space="preserve"> nabrała mocy wiążącej</w:t>
      </w:r>
    </w:p>
    <w:p>
      <w:pPr>
        <w:spacing w:before="120" w:after="120" w:line="360"/>
        <w:ind w:right="0" w:left="0" w:firstLine="0"/>
        <w:jc w:val="both"/>
        <w:rPr>
          <w:rFonts w:ascii="Arial" w:hAnsi="Arial" w:cs="Arial" w:eastAsia="Arial"/>
          <w:color w:val="auto"/>
          <w:spacing w:val="0"/>
          <w:position w:val="0"/>
          <w:sz w:val="24"/>
          <w:shd w:fill="FFFFFF" w:val="clear"/>
        </w:rPr>
      </w:pPr>
    </w:p>
    <w:p>
      <w:pPr>
        <w:spacing w:before="120" w:after="120" w:line="360"/>
        <w:ind w:right="0" w:left="0" w:firstLine="0"/>
        <w:jc w:val="both"/>
        <w:rPr>
          <w:rFonts w:ascii="Arial" w:hAnsi="Arial" w:cs="Arial" w:eastAsia="Arial"/>
          <w:color w:val="auto"/>
          <w:spacing w:val="0"/>
          <w:position w:val="0"/>
          <w:sz w:val="24"/>
          <w:shd w:fill="FFFFFF" w:val="clear"/>
        </w:rPr>
      </w:pPr>
      <w:hyperlink xmlns:r="http://schemas.openxmlformats.org/officeDocument/2006/relationships" r:id="docRId3">
        <w:r>
          <w:rPr>
            <w:rFonts w:ascii="Arial" w:hAnsi="Arial" w:cs="Arial" w:eastAsia="Arial"/>
            <w:color w:val="auto"/>
            <w:spacing w:val="0"/>
            <w:position w:val="0"/>
            <w:sz w:val="24"/>
            <w:shd w:fill="FFFFFF" w:val="clear"/>
          </w:rPr>
          <w:t xml:space="preserve">Obywatelstwo</w:t>
        </w:r>
      </w:hyperlink>
      <w:r>
        <w:rPr>
          <w:rFonts w:ascii="Arial" w:hAnsi="Arial" w:cs="Arial" w:eastAsia="Arial"/>
          <w:color w:val="auto"/>
          <w:spacing w:val="0"/>
          <w:position w:val="0"/>
          <w:sz w:val="24"/>
          <w:shd w:fill="FFFFFF" w:val="clear"/>
        </w:rPr>
        <w:t xml:space="preserve"> jest zapisane w artykule 9 </w:t>
      </w:r>
      <w:hyperlink xmlns:r="http://schemas.openxmlformats.org/officeDocument/2006/relationships" r:id="docRId4">
        <w:r>
          <w:rPr>
            <w:rFonts w:ascii="Arial" w:hAnsi="Arial" w:cs="Arial" w:eastAsia="Arial"/>
            <w:color w:val="auto"/>
            <w:spacing w:val="0"/>
            <w:position w:val="0"/>
            <w:sz w:val="24"/>
            <w:shd w:fill="FFFFFF" w:val="clear"/>
          </w:rPr>
          <w:t xml:space="preserve">Traktatu o Unii Europejskiej</w:t>
        </w:r>
      </w:hyperlink>
      <w:r>
        <w:rPr>
          <w:rFonts w:ascii="Arial" w:hAnsi="Arial" w:cs="Arial" w:eastAsia="Arial"/>
          <w:color w:val="auto"/>
          <w:spacing w:val="0"/>
          <w:position w:val="0"/>
          <w:sz w:val="24"/>
          <w:shd w:fill="FFFFFF" w:val="clear"/>
        </w:rPr>
        <w:t xml:space="preserve">, zgodnie z którym: </w:t>
      </w:r>
    </w:p>
    <w:p>
      <w:pPr>
        <w:spacing w:before="120" w:after="120" w:line="360"/>
        <w:ind w:right="0" w:left="0" w:firstLine="0"/>
        <w:jc w:val="both"/>
        <w:rPr>
          <w:rFonts w:ascii="Arial" w:hAnsi="Arial" w:cs="Arial" w:eastAsia="Arial"/>
          <w:color w:val="auto"/>
          <w:spacing w:val="0"/>
          <w:position w:val="0"/>
          <w:sz w:val="24"/>
          <w:shd w:fill="FFFFFF" w:val="clear"/>
        </w:rPr>
      </w:pPr>
      <w:r>
        <w:rPr>
          <w:rFonts w:ascii="Arial" w:hAnsi="Arial" w:cs="Arial" w:eastAsia="Arial"/>
          <w:b/>
          <w:i/>
          <w:color w:val="auto"/>
          <w:spacing w:val="0"/>
          <w:position w:val="0"/>
          <w:sz w:val="24"/>
          <w:shd w:fill="FFFFFF" w:val="clear"/>
        </w:rPr>
        <w:t xml:space="preserve">obywatelem Unii jest każda osoba mająca obywatelstwo </w:t>
      </w:r>
      <w:hyperlink xmlns:r="http://schemas.openxmlformats.org/officeDocument/2006/relationships" r:id="docRId5">
        <w:r>
          <w:rPr>
            <w:rFonts w:ascii="Arial" w:hAnsi="Arial" w:cs="Arial" w:eastAsia="Arial"/>
            <w:b/>
            <w:i/>
            <w:color w:val="auto"/>
            <w:spacing w:val="0"/>
            <w:position w:val="0"/>
            <w:sz w:val="24"/>
            <w:shd w:fill="FFFFFF" w:val="clear"/>
          </w:rPr>
          <w:t xml:space="preserve">Państwa Członkowskiego</w:t>
        </w:r>
      </w:hyperlink>
      <w:r>
        <w:rPr>
          <w:rFonts w:ascii="Arial" w:hAnsi="Arial" w:cs="Arial" w:eastAsia="Arial"/>
          <w:b/>
          <w:i/>
          <w:color w:val="auto"/>
          <w:spacing w:val="0"/>
          <w:position w:val="0"/>
          <w:sz w:val="24"/>
          <w:shd w:fill="FFFFFF" w:val="clear"/>
        </w:rPr>
        <w:t xml:space="preserve">. Obywatelstwo ma charakter dodatkowy w stosunku do obywatelstwa krajowego i nie zastępuje go</w:t>
      </w:r>
      <w:r>
        <w:rPr>
          <w:rFonts w:ascii="Arial" w:hAnsi="Arial" w:cs="Arial" w:eastAsia="Arial"/>
          <w:color w:val="auto"/>
          <w:spacing w:val="0"/>
          <w:position w:val="0"/>
          <w:sz w:val="24"/>
          <w:shd w:fill="FFFFFF" w:val="clear"/>
        </w:rPr>
        <w:t xml:space="preserve">.</w:t>
      </w:r>
    </w:p>
    <w:p>
      <w:pPr>
        <w:spacing w:before="120" w:after="120" w:line="360"/>
        <w:ind w:right="0" w:left="0" w:firstLine="0"/>
        <w:jc w:val="both"/>
        <w:rPr>
          <w:rFonts w:ascii="Arial" w:hAnsi="Arial" w:cs="Arial" w:eastAsia="Arial"/>
          <w:color w:val="auto"/>
          <w:spacing w:val="0"/>
          <w:position w:val="0"/>
          <w:sz w:val="24"/>
          <w:shd w:fill="FFFFFF" w:val="clear"/>
        </w:rPr>
      </w:pPr>
    </w:p>
    <w:p>
      <w:pPr>
        <w:spacing w:before="120" w:after="12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Zakres kompetencji Unii jest mniejszy od kompetencji państw członkowskich, przez co możliwość nadawania przez nią praw jest ograniczona. </w:t>
      </w:r>
    </w:p>
    <w:p>
      <w:pPr>
        <w:spacing w:before="120" w:after="12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Zakres praw obywatelskich UE jest większy od praw w państwach członkowskich. Obejmuje on także prawa dotyczące życia międzypaństwowego w obrębie Unii. </w:t>
      </w:r>
    </w:p>
    <w:p>
      <w:pPr>
        <w:spacing w:before="120" w:after="12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Mimo iż w artykule 20 </w:t>
      </w:r>
      <w:hyperlink xmlns:r="http://schemas.openxmlformats.org/officeDocument/2006/relationships" r:id="docRId6">
        <w:r>
          <w:rPr>
            <w:rFonts w:ascii="Arial" w:hAnsi="Arial" w:cs="Arial" w:eastAsia="Arial"/>
            <w:color w:val="auto"/>
            <w:spacing w:val="0"/>
            <w:position w:val="0"/>
            <w:sz w:val="24"/>
            <w:shd w:fill="FFFFFF" w:val="clear"/>
          </w:rPr>
          <w:t xml:space="preserve">Traktatu o funkcjonowaniu Unii Europejskiej</w:t>
        </w:r>
      </w:hyperlink>
      <w:r>
        <w:rPr>
          <w:rFonts w:ascii="Arial" w:hAnsi="Arial" w:cs="Arial" w:eastAsia="Arial"/>
          <w:color w:val="auto"/>
          <w:spacing w:val="0"/>
          <w:position w:val="0"/>
          <w:sz w:val="24"/>
          <w:shd w:fill="FFFFFF" w:val="clear"/>
        </w:rPr>
        <w:t xml:space="preserve"> jest mowa o tym, że obywatele podlegają obowiązkom przewidzianym w traktatach, prawo unijne składa się wyłącznie z praw i nie nakłada żadnych obowiązków. Żadnych powinności nie określiło także orzecznictwo </w:t>
      </w:r>
      <w:hyperlink xmlns:r="http://schemas.openxmlformats.org/officeDocument/2006/relationships" r:id="docRId7">
        <w:r>
          <w:rPr>
            <w:rFonts w:ascii="Arial" w:hAnsi="Arial" w:cs="Arial" w:eastAsia="Arial"/>
            <w:color w:val="auto"/>
            <w:spacing w:val="0"/>
            <w:position w:val="0"/>
            <w:sz w:val="24"/>
            <w:shd w:fill="FFFFFF" w:val="clear"/>
          </w:rPr>
          <w:t xml:space="preserve">Trybunału Sprawiedliwości Unii Europejskiej</w:t>
        </w:r>
      </w:hyperlink>
      <w:r>
        <w:rPr>
          <w:rFonts w:ascii="Arial" w:hAnsi="Arial" w:cs="Arial" w:eastAsia="Arial"/>
          <w:color w:val="auto"/>
          <w:spacing w:val="0"/>
          <w:position w:val="0"/>
          <w:sz w:val="24"/>
          <w:shd w:fill="FFFFFF" w:val="clear"/>
        </w:rPr>
        <w:t xml:space="preserve">.</w:t>
      </w:r>
    </w:p>
    <w:p>
      <w:pPr>
        <w:spacing w:before="120" w:after="120" w:line="360"/>
        <w:ind w:right="0" w:left="0" w:firstLine="0"/>
        <w:jc w:val="both"/>
        <w:rPr>
          <w:rFonts w:ascii="Arial" w:hAnsi="Arial" w:cs="Arial" w:eastAsia="Arial"/>
          <w:color w:val="auto"/>
          <w:spacing w:val="0"/>
          <w:position w:val="0"/>
          <w:sz w:val="24"/>
          <w:shd w:fill="FFFFFF" w:val="clear"/>
        </w:rPr>
      </w:pPr>
    </w:p>
    <w:p>
      <w:pPr>
        <w:spacing w:before="120" w:after="12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160" w:line="259"/>
        <w:ind w:right="0" w:left="0" w:firstLine="0"/>
        <w:jc w:val="both"/>
        <w:rPr>
          <w:rFonts w:ascii="Arial" w:hAnsi="Arial" w:cs="Arial" w:eastAsia="Arial"/>
          <w:b/>
          <w:color w:val="auto"/>
          <w:spacing w:val="0"/>
          <w:position w:val="0"/>
          <w:sz w:val="24"/>
          <w:shd w:fill="auto" w:val="clear"/>
        </w:rPr>
      </w:pPr>
    </w:p>
    <w:p>
      <w:pPr>
        <w:spacing w:before="240" w:after="60" w:line="360"/>
        <w:ind w:right="0" w:left="0" w:firstLine="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Cechy obywatelstwa UE</w:t>
      </w:r>
    </w:p>
    <w:p>
      <w:pPr>
        <w:spacing w:before="120" w:after="12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Obywatelstwo UE ma charakter:</w:t>
      </w:r>
    </w:p>
    <w:p>
      <w:pPr>
        <w:numPr>
          <w:ilvl w:val="0"/>
          <w:numId w:val="6"/>
        </w:numPr>
        <w:tabs>
          <w:tab w:val="left" w:pos="720" w:leader="none"/>
        </w:tabs>
        <w:spacing w:before="100" w:after="24" w:line="360"/>
        <w:ind w:right="0" w:left="384" w:hanging="36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personalny</w:t>
      </w:r>
      <w:r>
        <w:rPr>
          <w:rFonts w:ascii="Arial" w:hAnsi="Arial" w:cs="Arial" w:eastAsia="Arial"/>
          <w:color w:val="auto"/>
          <w:spacing w:val="0"/>
          <w:position w:val="0"/>
          <w:sz w:val="24"/>
          <w:shd w:fill="FFFFFF" w:val="clear"/>
        </w:rPr>
        <w:t xml:space="preserve"> – łączy ono Unię i każdą osobę fizyczną, która posiada obywatelstwo państwa członkowskiego. W związku z tym z natury swej nie przysługuje </w:t>
      </w:r>
      <w:hyperlink xmlns:r="http://schemas.openxmlformats.org/officeDocument/2006/relationships" r:id="docRId8">
        <w:r>
          <w:rPr>
            <w:rFonts w:ascii="Arial" w:hAnsi="Arial" w:cs="Arial" w:eastAsia="Arial"/>
            <w:color w:val="auto"/>
            <w:spacing w:val="0"/>
            <w:position w:val="0"/>
            <w:sz w:val="24"/>
            <w:shd w:fill="FFFFFF" w:val="clear"/>
          </w:rPr>
          <w:t xml:space="preserve">osobom prawnym</w:t>
        </w:r>
      </w:hyperlink>
      <w:r>
        <w:rPr>
          <w:rFonts w:ascii="Arial" w:hAnsi="Arial" w:cs="Arial" w:eastAsia="Arial"/>
          <w:color w:val="auto"/>
          <w:spacing w:val="0"/>
          <w:position w:val="0"/>
          <w:sz w:val="24"/>
          <w:shd w:fill="FFFFFF" w:val="clear"/>
        </w:rPr>
        <w:t xml:space="preserve">, mimo iż część praw mają one takie same. Artykuł 20 TFUE definiuje jako obywatela każdą osobę mającą przynależność państwa członkowskiego, jednakże osoby prawne nie korzystają z pełni praw, m.in. z możliwości brania udziału w wyborach do </w:t>
      </w:r>
      <w:hyperlink xmlns:r="http://schemas.openxmlformats.org/officeDocument/2006/relationships" r:id="docRId9">
        <w:r>
          <w:rPr>
            <w:rFonts w:ascii="Arial" w:hAnsi="Arial" w:cs="Arial" w:eastAsia="Arial"/>
            <w:color w:val="auto"/>
            <w:spacing w:val="0"/>
            <w:position w:val="0"/>
            <w:sz w:val="24"/>
            <w:shd w:fill="FFFFFF" w:val="clear"/>
          </w:rPr>
          <w:t xml:space="preserve">Parlamentu Europejskiego</w:t>
        </w:r>
      </w:hyperlink>
      <w:r>
        <w:rPr>
          <w:rFonts w:ascii="Arial" w:hAnsi="Arial" w:cs="Arial" w:eastAsia="Arial"/>
          <w:color w:val="auto"/>
          <w:spacing w:val="0"/>
          <w:position w:val="0"/>
          <w:sz w:val="24"/>
          <w:shd w:fill="FFFFFF" w:val="clear"/>
        </w:rPr>
        <w:t xml:space="preserve">;</w:t>
      </w:r>
    </w:p>
    <w:p>
      <w:pPr>
        <w:numPr>
          <w:ilvl w:val="0"/>
          <w:numId w:val="6"/>
        </w:numPr>
        <w:tabs>
          <w:tab w:val="left" w:pos="720" w:leader="none"/>
        </w:tabs>
        <w:spacing w:before="100" w:after="24" w:line="360"/>
        <w:ind w:right="0" w:left="384" w:hanging="36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wzajemny</w:t>
      </w:r>
      <w:r>
        <w:rPr>
          <w:rFonts w:ascii="Arial" w:hAnsi="Arial" w:cs="Arial" w:eastAsia="Arial"/>
          <w:color w:val="auto"/>
          <w:spacing w:val="0"/>
          <w:position w:val="0"/>
          <w:sz w:val="24"/>
          <w:shd w:fill="FFFFFF" w:val="clear"/>
        </w:rPr>
        <w:t xml:space="preserve"> – odnosi się to do obustronności relacji jako stosunku prawnego. Obywatele mają określone prawa, z których mogą korzystać i określone obowiązki na nich nałożone, z których muszą się wywiązywać. Unia zaś musi zapewnić respektowanie i możliwość wykonywania tych praw, a także egzekwować obowiązki;</w:t>
      </w:r>
    </w:p>
    <w:p>
      <w:pPr>
        <w:numPr>
          <w:ilvl w:val="0"/>
          <w:numId w:val="6"/>
        </w:numPr>
        <w:tabs>
          <w:tab w:val="left" w:pos="720" w:leader="none"/>
        </w:tabs>
        <w:spacing w:before="100" w:after="24" w:line="360"/>
        <w:ind w:right="0" w:left="384" w:hanging="36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dodatkowy</w:t>
      </w:r>
      <w:r>
        <w:rPr>
          <w:rFonts w:ascii="Arial" w:hAnsi="Arial" w:cs="Arial" w:eastAsia="Arial"/>
          <w:color w:val="auto"/>
          <w:spacing w:val="0"/>
          <w:position w:val="0"/>
          <w:sz w:val="24"/>
          <w:shd w:fill="FFFFFF" w:val="clear"/>
        </w:rPr>
        <w:t xml:space="preserve"> – nie zastępuje ono obywatelstwa krajowego, a jedynie stanowi uzupełnienie, rozszerzając je o dalsze elementy. Obywatelstwo krajowe nie jest także w żaden sposób zmieniane i ma charakter nadrzędny w stosunku do unijnego;</w:t>
      </w:r>
    </w:p>
    <w:p>
      <w:pPr>
        <w:numPr>
          <w:ilvl w:val="0"/>
          <w:numId w:val="6"/>
        </w:numPr>
        <w:tabs>
          <w:tab w:val="left" w:pos="720" w:leader="none"/>
        </w:tabs>
        <w:spacing w:before="100" w:after="24" w:line="360"/>
        <w:ind w:right="0" w:left="384" w:hanging="36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zależny</w:t>
      </w:r>
      <w:r>
        <w:rPr>
          <w:rFonts w:ascii="Arial" w:hAnsi="Arial" w:cs="Arial" w:eastAsia="Arial"/>
          <w:color w:val="auto"/>
          <w:spacing w:val="0"/>
          <w:position w:val="0"/>
          <w:sz w:val="24"/>
          <w:shd w:fill="FFFFFF" w:val="clear"/>
        </w:rPr>
        <w:t xml:space="preserve"> – jest zależne od obywatelstwa krajowego. Unijne obywatelstwo posiada się, nabywa i traci wraz z obywatelstwem kraju członkowskiego. Nie można tego zrobić niezależnie. W związku z różnymi regulacjami prawnymi w poszczególnych krajach członkowskich odnośnie do obywatelstwa krajowego, nie istnieje jednolity ogólnounijny sposób nabywania bądź zbywania obywatelstwa unijnego;</w:t>
      </w:r>
    </w:p>
    <w:p>
      <w:pPr>
        <w:numPr>
          <w:ilvl w:val="0"/>
          <w:numId w:val="6"/>
        </w:numPr>
        <w:tabs>
          <w:tab w:val="left" w:pos="720" w:leader="none"/>
        </w:tabs>
        <w:spacing w:before="100" w:after="24" w:line="360"/>
        <w:ind w:right="0" w:left="384" w:hanging="360"/>
        <w:jc w:val="both"/>
        <w:rPr>
          <w:rFonts w:ascii="Arial" w:hAnsi="Arial" w:cs="Arial" w:eastAsia="Arial"/>
          <w:color w:val="auto"/>
          <w:spacing w:val="0"/>
          <w:position w:val="0"/>
          <w:sz w:val="24"/>
          <w:shd w:fill="FFFFFF" w:val="clear"/>
        </w:rPr>
      </w:pPr>
      <w:r>
        <w:rPr>
          <w:rFonts w:ascii="Arial" w:hAnsi="Arial" w:cs="Arial" w:eastAsia="Arial"/>
          <w:b/>
          <w:color w:val="auto"/>
          <w:spacing w:val="0"/>
          <w:position w:val="0"/>
          <w:sz w:val="24"/>
          <w:shd w:fill="FFFFFF" w:val="clear"/>
        </w:rPr>
        <w:t xml:space="preserve">pozorny</w:t>
      </w:r>
      <w:r>
        <w:rPr>
          <w:rFonts w:ascii="Arial" w:hAnsi="Arial" w:cs="Arial" w:eastAsia="Arial"/>
          <w:color w:val="auto"/>
          <w:spacing w:val="0"/>
          <w:position w:val="0"/>
          <w:sz w:val="24"/>
          <w:shd w:fill="FFFFFF" w:val="clear"/>
        </w:rPr>
        <w:t xml:space="preserve"> – ponieważ uzależnienie obywatelstwa unijnego od krajowego jest całkowite, ma ono charakter więzi pozornej. Nie jest ważne jakie są kryteria posiadania obywatelstwa krajowego, lecz liczy się tylko fakt ich spełnienia, który jest wystarczający do otrzymania obywatelstwa unijnego.</w:t>
      </w:r>
    </w:p>
    <w:p>
      <w:pPr>
        <w:numPr>
          <w:ilvl w:val="0"/>
          <w:numId w:val="6"/>
        </w:numPr>
        <w:tabs>
          <w:tab w:val="left" w:pos="720" w:leader="none"/>
        </w:tabs>
        <w:spacing w:before="100" w:after="24" w:line="360"/>
        <w:ind w:right="0" w:left="384"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both"/>
        <w:rPr>
          <w:rFonts w:ascii="Arial" w:hAnsi="Arial" w:cs="Arial" w:eastAsia="Arial"/>
          <w:color w:val="auto"/>
          <w:spacing w:val="0"/>
          <w:position w:val="0"/>
          <w:sz w:val="24"/>
          <w:shd w:fill="auto" w:val="clear"/>
        </w:rPr>
      </w:pPr>
    </w:p>
    <w:p>
      <w:pPr>
        <w:spacing w:before="240" w:after="60" w:line="360"/>
        <w:ind w:right="0" w:left="0" w:firstLine="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Prawa związane z obywatelstwem UE</w:t>
      </w:r>
    </w:p>
    <w:p>
      <w:pPr>
        <w:spacing w:before="240" w:after="60" w:line="360"/>
        <w:ind w:right="0" w:left="0" w:firstLine="0"/>
        <w:jc w:val="both"/>
        <w:rPr>
          <w:rFonts w:ascii="Arial" w:hAnsi="Arial" w:cs="Arial" w:eastAsia="Arial"/>
          <w:b/>
          <w:color w:val="auto"/>
          <w:spacing w:val="0"/>
          <w:position w:val="0"/>
          <w:sz w:val="24"/>
          <w:shd w:fill="FFFFFF" w:val="clear"/>
        </w:rPr>
      </w:pPr>
    </w:p>
    <w:p>
      <w:pPr>
        <w:numPr>
          <w:ilvl w:val="0"/>
          <w:numId w:val="9"/>
        </w:numPr>
        <w:spacing w:before="72" w:after="0" w:line="360"/>
        <w:ind w:right="0" w:left="1440" w:hanging="36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Swoboda przepływu osób</w:t>
      </w:r>
    </w:p>
    <w:p>
      <w:pPr>
        <w:spacing w:before="72" w:after="0" w:line="360"/>
        <w:ind w:right="0" w:left="1440" w:firstLine="0"/>
        <w:jc w:val="both"/>
        <w:rPr>
          <w:rFonts w:ascii="Arial" w:hAnsi="Arial" w:cs="Arial" w:eastAsia="Arial"/>
          <w:b/>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Jest jednym z najważniejszych praw, zagwarantowanym przez art. 21, ust. 1 TFUE, który mówi, że </w:t>
      </w:r>
      <w:r>
        <w:rPr>
          <w:rFonts w:ascii="Arial" w:hAnsi="Arial" w:cs="Arial" w:eastAsia="Arial"/>
          <w:b/>
          <w:i/>
          <w:color w:val="auto"/>
          <w:spacing w:val="0"/>
          <w:position w:val="0"/>
          <w:sz w:val="24"/>
          <w:shd w:fill="FFFFFF" w:val="clear"/>
        </w:rPr>
        <w:t xml:space="preserve">każdy obywatel Unii ma prawo do swobodnego przemieszczania się i przebywania na terytorium Państw Członkowskich, z zastrzeżeniem ograniczeń i warunków ustanowionych w Traktacie i w środkach przyjętych w celu ich wykonywania</w:t>
      </w:r>
      <w:r>
        <w:rPr>
          <w:rFonts w:ascii="Arial" w:hAnsi="Arial" w:cs="Arial" w:eastAsia="Arial"/>
          <w:color w:val="auto"/>
          <w:spacing w:val="0"/>
          <w:position w:val="0"/>
          <w:sz w:val="24"/>
          <w:shd w:fill="FFFFFF" w:val="clear"/>
        </w:rPr>
        <w:t xml:space="preserve">.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Według orzecznictwa Europejskiego Trybunału Sprawiedliwości prawo to jest </w:t>
      </w:r>
      <w:r>
        <w:rPr>
          <w:rFonts w:ascii="Arial" w:hAnsi="Arial" w:cs="Arial" w:eastAsia="Arial"/>
          <w:b/>
          <w:color w:val="auto"/>
          <w:spacing w:val="0"/>
          <w:position w:val="0"/>
          <w:sz w:val="24"/>
          <w:shd w:fill="FFFFFF" w:val="clear"/>
        </w:rPr>
        <w:t xml:space="preserve">bezpośrednio skuteczne</w:t>
      </w:r>
      <w:r>
        <w:rPr>
          <w:rFonts w:ascii="Arial" w:hAnsi="Arial" w:cs="Arial" w:eastAsia="Arial"/>
          <w:color w:val="auto"/>
          <w:spacing w:val="0"/>
          <w:position w:val="0"/>
          <w:sz w:val="24"/>
          <w:shd w:fill="FFFFFF" w:val="clear"/>
        </w:rPr>
        <w:t xml:space="preserve">. Może być ono przyznane także obywatelom państw trzecich legalnie przebywającym na terytorium Państwa Członkowskiego.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Poza </w:t>
      </w:r>
      <w:r>
        <w:rPr>
          <w:rFonts w:ascii="Arial" w:hAnsi="Arial" w:cs="Arial" w:eastAsia="Arial"/>
          <w:color w:val="auto"/>
          <w:spacing w:val="0"/>
          <w:position w:val="0"/>
          <w:sz w:val="24"/>
          <w:shd w:fill="FFFFFF" w:val="clear"/>
        </w:rPr>
        <w:t xml:space="preserve">przemieszczaniem się i zamieszkiwaniem</w:t>
      </w:r>
      <w:r>
        <w:rPr>
          <w:rFonts w:ascii="Arial" w:hAnsi="Arial" w:cs="Arial" w:eastAsia="Arial"/>
          <w:color w:val="auto"/>
          <w:spacing w:val="0"/>
          <w:position w:val="0"/>
          <w:sz w:val="24"/>
          <w:shd w:fill="FFFFFF" w:val="clear"/>
        </w:rPr>
        <w:t xml:space="preserve">, także stałym, obywatele Unii mają również </w:t>
      </w:r>
      <w:r>
        <w:rPr>
          <w:rFonts w:ascii="Arial" w:hAnsi="Arial" w:cs="Arial" w:eastAsia="Arial"/>
          <w:color w:val="auto"/>
          <w:spacing w:val="0"/>
          <w:position w:val="0"/>
          <w:sz w:val="24"/>
          <w:shd w:fill="FFFFFF" w:val="clear"/>
        </w:rPr>
        <w:t xml:space="preserve">swobodę poszukiwania zatrudnienia, wykonywania pracy, korzystania z prawa przedsiębiorczości oraz świadczenia usług </w:t>
      </w:r>
      <w:r>
        <w:rPr>
          <w:rFonts w:ascii="Arial" w:hAnsi="Arial" w:cs="Arial" w:eastAsia="Arial"/>
          <w:color w:val="auto"/>
          <w:spacing w:val="0"/>
          <w:position w:val="0"/>
          <w:sz w:val="24"/>
          <w:shd w:fill="FFFFFF" w:val="clear"/>
        </w:rPr>
        <w:t xml:space="preserve">we wszystkich państwach członkowskich. Korzystają także z </w:t>
      </w:r>
      <w:r>
        <w:rPr>
          <w:rFonts w:ascii="Arial" w:hAnsi="Arial" w:cs="Arial" w:eastAsia="Arial"/>
          <w:color w:val="auto"/>
          <w:spacing w:val="0"/>
          <w:position w:val="0"/>
          <w:sz w:val="24"/>
          <w:shd w:fill="FFFFFF" w:val="clear"/>
        </w:rPr>
        <w:t xml:space="preserve">prawa do podejmowania nauki</w:t>
      </w:r>
      <w:r>
        <w:rPr>
          <w:rFonts w:ascii="Arial" w:hAnsi="Arial" w:cs="Arial" w:eastAsia="Arial"/>
          <w:color w:val="auto"/>
          <w:spacing w:val="0"/>
          <w:position w:val="0"/>
          <w:sz w:val="24"/>
          <w:shd w:fill="FFFFFF" w:val="clear"/>
        </w:rPr>
        <w:t xml:space="preserve"> w dowolnym państwie członkowskim.</w:t>
      </w:r>
    </w:p>
    <w:p>
      <w:pPr>
        <w:spacing w:before="120" w:after="120" w:line="360"/>
        <w:ind w:right="0" w:left="384"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both"/>
        <w:rPr>
          <w:rFonts w:ascii="Arial" w:hAnsi="Arial" w:cs="Arial" w:eastAsia="Arial"/>
          <w:color w:val="auto"/>
          <w:spacing w:val="0"/>
          <w:position w:val="0"/>
          <w:sz w:val="24"/>
          <w:shd w:fill="auto" w:val="clear"/>
        </w:rPr>
      </w:pPr>
    </w:p>
    <w:p>
      <w:pPr>
        <w:spacing w:before="120" w:after="120" w:line="360"/>
        <w:ind w:right="0" w:left="384" w:firstLine="0"/>
        <w:jc w:val="both"/>
        <w:rPr>
          <w:rFonts w:ascii="Arial" w:hAnsi="Arial" w:cs="Arial" w:eastAsia="Arial"/>
          <w:color w:val="auto"/>
          <w:spacing w:val="0"/>
          <w:position w:val="0"/>
          <w:sz w:val="24"/>
          <w:shd w:fill="FFFFFF" w:val="clear"/>
        </w:rPr>
      </w:pPr>
    </w:p>
    <w:p>
      <w:pPr>
        <w:numPr>
          <w:ilvl w:val="0"/>
          <w:numId w:val="14"/>
        </w:numPr>
        <w:spacing w:before="72" w:after="0" w:line="360"/>
        <w:ind w:right="0" w:left="1440" w:hanging="36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Prawo wyborcze w wyborach lokalnych</w:t>
      </w:r>
    </w:p>
    <w:p>
      <w:pPr>
        <w:spacing w:before="72" w:after="0" w:line="360"/>
        <w:ind w:right="0" w:left="1440" w:firstLine="0"/>
        <w:jc w:val="both"/>
        <w:rPr>
          <w:rFonts w:ascii="Arial" w:hAnsi="Arial" w:cs="Arial" w:eastAsia="Arial"/>
          <w:b/>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Prawem obywateli UE jest </w:t>
      </w:r>
      <w:r>
        <w:rPr>
          <w:rFonts w:ascii="Arial" w:hAnsi="Arial" w:cs="Arial" w:eastAsia="Arial"/>
          <w:color w:val="auto"/>
          <w:spacing w:val="0"/>
          <w:position w:val="0"/>
          <w:sz w:val="24"/>
          <w:shd w:fill="FFFFFF" w:val="clear"/>
        </w:rPr>
        <w:t xml:space="preserve">możliwość brania udziału w wyborach lokalnych w państwach zamieszkania</w:t>
      </w:r>
      <w:r>
        <w:rPr>
          <w:rFonts w:ascii="Arial" w:hAnsi="Arial" w:cs="Arial" w:eastAsia="Arial"/>
          <w:color w:val="auto"/>
          <w:spacing w:val="0"/>
          <w:position w:val="0"/>
          <w:sz w:val="24"/>
          <w:shd w:fill="FFFFFF" w:val="clear"/>
        </w:rPr>
        <w:t xml:space="preserve">, których nie są obywatelami.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Dotyczy to </w:t>
      </w:r>
      <w:hyperlink xmlns:r="http://schemas.openxmlformats.org/officeDocument/2006/relationships" r:id="docRId10">
        <w:r>
          <w:rPr>
            <w:rFonts w:ascii="Arial" w:hAnsi="Arial" w:cs="Arial" w:eastAsia="Arial"/>
            <w:color w:val="auto"/>
            <w:spacing w:val="0"/>
            <w:position w:val="0"/>
            <w:sz w:val="24"/>
            <w:shd w:fill="FFFFFF" w:val="clear"/>
          </w:rPr>
          <w:t xml:space="preserve">czynnego</w:t>
        </w:r>
      </w:hyperlink>
      <w:r>
        <w:rPr>
          <w:rFonts w:ascii="Arial" w:hAnsi="Arial" w:cs="Arial" w:eastAsia="Arial"/>
          <w:color w:val="auto"/>
          <w:spacing w:val="0"/>
          <w:position w:val="0"/>
          <w:sz w:val="24"/>
          <w:shd w:fill="FFFFFF" w:val="clear"/>
        </w:rPr>
        <w:t xml:space="preserve"> i </w:t>
      </w:r>
      <w:hyperlink xmlns:r="http://schemas.openxmlformats.org/officeDocument/2006/relationships" r:id="docRId11">
        <w:r>
          <w:rPr>
            <w:rFonts w:ascii="Arial" w:hAnsi="Arial" w:cs="Arial" w:eastAsia="Arial"/>
            <w:color w:val="auto"/>
            <w:spacing w:val="0"/>
            <w:position w:val="0"/>
            <w:sz w:val="24"/>
            <w:shd w:fill="FFFFFF" w:val="clear"/>
          </w:rPr>
          <w:t xml:space="preserve">biernego prawa wyborczego</w:t>
        </w:r>
      </w:hyperlink>
      <w:r>
        <w:rPr>
          <w:rFonts w:ascii="Arial" w:hAnsi="Arial" w:cs="Arial" w:eastAsia="Arial"/>
          <w:color w:val="auto"/>
          <w:spacing w:val="0"/>
          <w:position w:val="0"/>
          <w:sz w:val="24"/>
          <w:shd w:fill="FFFFFF" w:val="clear"/>
        </w:rPr>
        <w:t xml:space="preserve">, jednak odnosi się tylko do wyborów lokalnych stopnia podstawowego.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Nie dotyczy wyborów lokalnych wyższych stopni</w:t>
      </w:r>
      <w:r>
        <w:rPr>
          <w:rFonts w:ascii="Arial" w:hAnsi="Arial" w:cs="Arial" w:eastAsia="Arial"/>
          <w:color w:val="auto"/>
          <w:spacing w:val="0"/>
          <w:position w:val="0"/>
          <w:sz w:val="24"/>
          <w:shd w:fill="FFFFFF" w:val="clear"/>
        </w:rPr>
        <w:t xml:space="preserve">, ani innych form demokracji lokalnej, jak </w:t>
      </w:r>
      <w:hyperlink xmlns:r="http://schemas.openxmlformats.org/officeDocument/2006/relationships" r:id="docRId12">
        <w:r>
          <w:rPr>
            <w:rFonts w:ascii="Arial" w:hAnsi="Arial" w:cs="Arial" w:eastAsia="Arial"/>
            <w:color w:val="auto"/>
            <w:spacing w:val="0"/>
            <w:position w:val="0"/>
            <w:sz w:val="24"/>
            <w:shd w:fill="FFFFFF" w:val="clear"/>
          </w:rPr>
          <w:t xml:space="preserve">referendum lokalne</w:t>
        </w:r>
      </w:hyperlink>
      <w:r>
        <w:rPr>
          <w:rFonts w:ascii="Arial" w:hAnsi="Arial" w:cs="Arial" w:eastAsia="Arial"/>
          <w:color w:val="auto"/>
          <w:spacing w:val="0"/>
          <w:position w:val="0"/>
          <w:sz w:val="24"/>
          <w:shd w:fill="FFFFFF" w:val="clear"/>
        </w:rPr>
        <w:t xml:space="preserve">. Państwa członkowskie mogą jednak to prawo rozszerzyć.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Prawo głosowania za granicą może być ograniczone w dwóch przypadkach. </w:t>
      </w:r>
    </w:p>
    <w:p>
      <w:pPr>
        <w:numPr>
          <w:ilvl w:val="0"/>
          <w:numId w:val="17"/>
        </w:numPr>
        <w:spacing w:before="120" w:after="120" w:line="360"/>
        <w:ind w:right="0" w:left="744"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gdy w danym państwie ilość obywateli Unii uprawnionych do głosowania, zamieszkałych w tym państwie, ale niebędących jego obywatelami, przekracza 20% ogólnej liczby obywateli Unii w wieku uprawniającym do głosowania, państwo to może ograniczyć czynne prawo wyborcze do takich osób przebywających na jego terytorium przez dany okres nie dłuższy niż długość jednej kadencji władz lokalnych, a bierne do takich osób przebywających na jego terytorium przez dany okres nie dłuższy niż długość dwóch kadencji władz lokalnych. </w:t>
      </w:r>
    </w:p>
    <w:p>
      <w:pPr>
        <w:numPr>
          <w:ilvl w:val="0"/>
          <w:numId w:val="17"/>
        </w:numPr>
        <w:spacing w:before="120" w:after="120" w:line="360"/>
        <w:ind w:right="0" w:left="744" w:hanging="36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bierne prawo wyborcze może zostać ograniczone, w zależności od potrzeb, jeżeli jest to uzasadnione szczególnym charakterem kierowniczych stanowisk w administracji lokalnej z uwagi na branie udziału w sprawowaniu władzy urzędowej oraz gwarantowanie interesu publicznego</w:t>
      </w:r>
    </w:p>
    <w:p>
      <w:pPr>
        <w:numPr>
          <w:ilvl w:val="0"/>
          <w:numId w:val="17"/>
        </w:numPr>
        <w:spacing w:before="120" w:after="120" w:line="360"/>
        <w:ind w:right="0" w:left="744"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both"/>
        <w:rPr>
          <w:rFonts w:ascii="Arial" w:hAnsi="Arial" w:cs="Arial" w:eastAsia="Arial"/>
          <w:b/>
          <w:color w:val="auto"/>
          <w:spacing w:val="0"/>
          <w:position w:val="0"/>
          <w:sz w:val="24"/>
          <w:shd w:fill="auto" w:val="clear"/>
        </w:rPr>
      </w:pPr>
    </w:p>
    <w:p>
      <w:pPr>
        <w:numPr>
          <w:ilvl w:val="0"/>
          <w:numId w:val="19"/>
        </w:numPr>
        <w:spacing w:before="72" w:after="0" w:line="360"/>
        <w:ind w:right="0" w:left="744" w:hanging="36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Prawo wyborcze w wyborach do Parlamentu Europejskiego</w:t>
      </w:r>
    </w:p>
    <w:p>
      <w:pPr>
        <w:spacing w:before="72" w:after="0" w:line="360"/>
        <w:ind w:right="0" w:left="744" w:firstLine="0"/>
        <w:jc w:val="both"/>
        <w:rPr>
          <w:rFonts w:ascii="Arial" w:hAnsi="Arial" w:cs="Arial" w:eastAsia="Arial"/>
          <w:b/>
          <w:color w:val="auto"/>
          <w:spacing w:val="0"/>
          <w:position w:val="0"/>
          <w:sz w:val="24"/>
          <w:shd w:fill="FFFFFF" w:val="clear"/>
        </w:rPr>
      </w:pPr>
    </w:p>
    <w:p>
      <w:pPr>
        <w:spacing w:before="0" w:after="16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Każdy obywatel UE ma czynne i bierne prawo wyborcze w wyborach do PE, niezależnie czy przebywa na terytorium własnego kraju czy innego państwa członkowskiego UE. </w:t>
      </w:r>
    </w:p>
    <w:p>
      <w:pPr>
        <w:spacing w:before="0" w:after="16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Osoby zamieszkujące poza krajem swego obywatelstwa, mogą wybrać w którym państwie wezmą udział w wyborach, ale mogą głosować w jednych wyborach tylko raz i w jednych wyborach kandydować tylko w jednym państwie. </w:t>
      </w:r>
    </w:p>
    <w:p>
      <w:pPr>
        <w:spacing w:before="0" w:after="16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Ograniczenia prawa głosowania poza krajem obywatelstwa może nastąpić w wypadku, gdy prawodawstwo danego kraju przewiduje, że osoby niebędące jego obywatelami prawo głosu uzyskują po określonym czasie przebywania na jego terytorium. Dopuszcza się również ograniczenie w przypadku, gdy w danym państwie ilość obywateli Unii uprawnionych do głosowania, zamieszkałych w tym państwie, ale niebędących jego obywatelami, przekracza 20% ogólnej liczby obywateli Unii w tym państwie w wieku uprawniającym do głosowania. Wówczas takie państwo może ograniczyć czynne prawo wyborcze do takich osób przebywających na jego terytorium przez m.in. 5 lat, a bierne do takich osób przebywających na jego terytorium przez m.in. 10 lat</w:t>
      </w:r>
    </w:p>
    <w:p>
      <w:pPr>
        <w:spacing w:before="0" w:after="160" w:line="36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w:t>
      </w:r>
    </w:p>
    <w:p>
      <w:pPr>
        <w:spacing w:before="0" w:after="160" w:line="259"/>
        <w:ind w:right="0" w:left="0" w:firstLine="0"/>
        <w:jc w:val="both"/>
        <w:rPr>
          <w:rFonts w:ascii="Arial" w:hAnsi="Arial" w:cs="Arial" w:eastAsia="Arial"/>
          <w:color w:val="auto"/>
          <w:spacing w:val="0"/>
          <w:position w:val="0"/>
          <w:sz w:val="24"/>
          <w:shd w:fill="FFFFFF" w:val="clear"/>
        </w:rPr>
      </w:pPr>
    </w:p>
    <w:p>
      <w:pPr>
        <w:numPr>
          <w:ilvl w:val="0"/>
          <w:numId w:val="23"/>
        </w:numPr>
        <w:spacing w:before="72" w:after="0" w:line="360"/>
        <w:ind w:right="0" w:left="744" w:hanging="36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Obywatelska inicjatywa ustawodawcza</w:t>
      </w:r>
    </w:p>
    <w:p>
      <w:pPr>
        <w:spacing w:before="120" w:after="120" w:line="360"/>
        <w:ind w:right="0" w:left="384" w:firstLine="0"/>
        <w:jc w:val="both"/>
        <w:rPr>
          <w:rFonts w:ascii="Arial" w:hAnsi="Arial" w:cs="Arial" w:eastAsia="Arial"/>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Prawem obywateli UE jest możliwość pośredniej </w:t>
      </w:r>
      <w:hyperlink xmlns:r="http://schemas.openxmlformats.org/officeDocument/2006/relationships" r:id="docRId13">
        <w:r>
          <w:rPr>
            <w:rFonts w:ascii="Arial" w:hAnsi="Arial" w:cs="Arial" w:eastAsia="Arial"/>
            <w:color w:val="auto"/>
            <w:spacing w:val="0"/>
            <w:position w:val="0"/>
            <w:sz w:val="24"/>
            <w:shd w:fill="FFFFFF" w:val="clear"/>
          </w:rPr>
          <w:t xml:space="preserve">inicjatywy prawodawczej</w:t>
        </w:r>
      </w:hyperlink>
      <w:r>
        <w:rPr>
          <w:rFonts w:ascii="Arial" w:hAnsi="Arial" w:cs="Arial" w:eastAsia="Arial"/>
          <w:color w:val="auto"/>
          <w:spacing w:val="0"/>
          <w:position w:val="0"/>
          <w:sz w:val="24"/>
          <w:shd w:fill="FFFFFF" w:val="clear"/>
        </w:rPr>
        <w:t xml:space="preserve">.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Na mocy artykułu 11 TUE </w:t>
      </w:r>
      <w:r>
        <w:rPr>
          <w:rFonts w:ascii="Arial" w:hAnsi="Arial" w:cs="Arial" w:eastAsia="Arial"/>
          <w:b/>
          <w:i/>
          <w:color w:val="auto"/>
          <w:spacing w:val="0"/>
          <w:position w:val="0"/>
          <w:sz w:val="24"/>
          <w:shd w:fill="FFFFFF" w:val="clear"/>
        </w:rPr>
        <w:t xml:space="preserve">obywatele Unii w liczbie nie mniejszej niż milion, mający obywatelstwo znacznej liczby Państw Członkowskich, mogą podjąć inicjatywę zwrócenia się do </w:t>
      </w:r>
      <w:hyperlink xmlns:r="http://schemas.openxmlformats.org/officeDocument/2006/relationships" r:id="docRId14">
        <w:r>
          <w:rPr>
            <w:rFonts w:ascii="Arial" w:hAnsi="Arial" w:cs="Arial" w:eastAsia="Arial"/>
            <w:b/>
            <w:i/>
            <w:color w:val="auto"/>
            <w:spacing w:val="0"/>
            <w:position w:val="0"/>
            <w:sz w:val="24"/>
            <w:shd w:fill="FFFFFF" w:val="clear"/>
          </w:rPr>
          <w:t xml:space="preserve">Komisji Europejskiej</w:t>
        </w:r>
      </w:hyperlink>
      <w:r>
        <w:rPr>
          <w:rFonts w:ascii="Arial" w:hAnsi="Arial" w:cs="Arial" w:eastAsia="Arial"/>
          <w:b/>
          <w:i/>
          <w:color w:val="auto"/>
          <w:spacing w:val="0"/>
          <w:position w:val="0"/>
          <w:sz w:val="24"/>
          <w:shd w:fill="FFFFFF" w:val="clear"/>
        </w:rPr>
        <w:t xml:space="preserve"> o przedłożenie, w ramach jej uprawnień, odpowiedniego wniosku w sprawach, w odniesieniu do których zdaniem obywateli, stosowanie Traktatów wymaga aktu prawnego Unii</w:t>
      </w:r>
      <w:r>
        <w:rPr>
          <w:rFonts w:ascii="Arial" w:hAnsi="Arial" w:cs="Arial" w:eastAsia="Arial"/>
          <w:b/>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Prawo to zostało doprecyzowane przez </w:t>
      </w:r>
      <w:r>
        <w:rPr>
          <w:rFonts w:ascii="Arial" w:hAnsi="Arial" w:cs="Arial" w:eastAsia="Arial"/>
          <w:i/>
          <w:color w:val="auto"/>
          <w:spacing w:val="0"/>
          <w:position w:val="0"/>
          <w:sz w:val="24"/>
          <w:shd w:fill="FFFFFF" w:val="clear"/>
        </w:rPr>
        <w:t xml:space="preserve">Rozporządzenie Parlamentu Europejskiego i Rady z dnia 16 lutego 2011 r. w sprawie inicjatywy obywatelskiej</w:t>
      </w:r>
      <w:r>
        <w:rPr>
          <w:rFonts w:ascii="Arial" w:hAnsi="Arial" w:cs="Arial" w:eastAsia="Arial"/>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Organizatorami akcji petycyjnej muszą być mieszkańcy co najmniej siedmiu krajów Unii.</w:t>
      </w:r>
      <w:r>
        <w:rPr>
          <w:rFonts w:ascii="Arial" w:hAnsi="Arial" w:cs="Arial" w:eastAsia="Arial"/>
          <w:color w:val="auto"/>
          <w:spacing w:val="0"/>
          <w:position w:val="0"/>
          <w:sz w:val="24"/>
          <w:shd w:fill="FFFFFF" w:val="clear"/>
        </w:rPr>
        <w:t xml:space="preserve">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Potrzeba zebrać minimum milion podpisów z minimum siedmiu krajów Unii Europejskiej. Minimalna liczba podpisów jaką należy zebrać w poszczególnych krajach również jest określona, i zależy od liczby posłów do Parlamentu Europejskiego wybieranych w danym państwie członkowskim, pomnożonej przez 750. </w:t>
      </w:r>
    </w:p>
    <w:p>
      <w:pPr>
        <w:spacing w:before="120" w:after="120" w:line="360"/>
        <w:ind w:right="0" w:left="384" w:firstLine="0"/>
        <w:jc w:val="both"/>
        <w:rPr>
          <w:rFonts w:ascii="Arial" w:hAnsi="Arial" w:cs="Arial" w:eastAsia="Arial"/>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Minimalny wiek uprawniony do wzięcia udziału w inicjatywie został określony, jak wiek wymagany uprawniający do głosowania w danym państwie członkowskim.</w:t>
      </w:r>
    </w:p>
    <w:p>
      <w:pPr>
        <w:spacing w:before="120" w:after="120" w:line="360"/>
        <w:ind w:right="0" w:left="384"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both"/>
        <w:rPr>
          <w:rFonts w:ascii="Arial" w:hAnsi="Arial" w:cs="Arial" w:eastAsia="Arial"/>
          <w:color w:val="auto"/>
          <w:spacing w:val="0"/>
          <w:position w:val="0"/>
          <w:sz w:val="24"/>
          <w:shd w:fill="auto" w:val="clear"/>
        </w:rPr>
      </w:pPr>
    </w:p>
    <w:p>
      <w:pPr>
        <w:numPr>
          <w:ilvl w:val="0"/>
          <w:numId w:val="26"/>
        </w:numPr>
        <w:spacing w:before="72" w:after="0" w:line="360"/>
        <w:ind w:right="0" w:left="744" w:hanging="36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Zwracanie się z petycją do Parlamentu Europejskiego</w:t>
      </w:r>
    </w:p>
    <w:p>
      <w:pPr>
        <w:spacing w:before="72" w:after="0" w:line="360"/>
        <w:ind w:right="0" w:left="744" w:firstLine="0"/>
        <w:jc w:val="both"/>
        <w:rPr>
          <w:rFonts w:ascii="Arial" w:hAnsi="Arial" w:cs="Arial" w:eastAsia="Arial"/>
          <w:b/>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Obywatele UE mają prawo zwracania się do Parlamentu Europejskiego z petycją w dotyczących ich sprawach objętych zakresem kompetencji Unii.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Prawo to rozciąga się na wszystkie osoby fizyczne i prawne mające miejsce zamieszkania lub statutową siedzibę na terenie UE.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Petycja może być kierowana indywidualnie lub grupowo i może być napisana w dowolnym języku urzędowym Unii.</w:t>
      </w:r>
    </w:p>
    <w:p>
      <w:pPr>
        <w:spacing w:before="120" w:after="120" w:line="360"/>
        <w:ind w:right="0" w:left="384" w:firstLine="0"/>
        <w:jc w:val="both"/>
        <w:rPr>
          <w:rFonts w:ascii="Arial" w:hAnsi="Arial" w:cs="Arial" w:eastAsia="Arial"/>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p>
    <w:p>
      <w:pPr>
        <w:numPr>
          <w:ilvl w:val="0"/>
          <w:numId w:val="29"/>
        </w:numPr>
        <w:spacing w:before="72" w:after="0" w:line="360"/>
        <w:ind w:right="0" w:left="744" w:hanging="36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Zwracanie się ze skargą do Europejskiego Rzecznika Praw Obywatelskich</w:t>
      </w:r>
    </w:p>
    <w:p>
      <w:pPr>
        <w:spacing w:before="72" w:after="0" w:line="360"/>
        <w:ind w:right="0" w:left="744" w:firstLine="0"/>
        <w:jc w:val="both"/>
        <w:rPr>
          <w:rFonts w:ascii="Arial" w:hAnsi="Arial" w:cs="Arial" w:eastAsia="Arial"/>
          <w:b/>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Obywatele EU mają prawo zwracania się do </w:t>
      </w:r>
      <w:hyperlink xmlns:r="http://schemas.openxmlformats.org/officeDocument/2006/relationships" r:id="docRId15">
        <w:r>
          <w:rPr>
            <w:rFonts w:ascii="Arial" w:hAnsi="Arial" w:cs="Arial" w:eastAsia="Arial"/>
            <w:color w:val="auto"/>
            <w:spacing w:val="0"/>
            <w:position w:val="0"/>
            <w:sz w:val="24"/>
            <w:shd w:fill="FFFFFF" w:val="clear"/>
          </w:rPr>
          <w:t xml:space="preserve">Europejskiego Rzecznika Praw Obywatelskich</w:t>
        </w:r>
      </w:hyperlink>
      <w:r>
        <w:rPr>
          <w:rFonts w:ascii="Arial" w:hAnsi="Arial" w:cs="Arial" w:eastAsia="Arial"/>
          <w:color w:val="auto"/>
          <w:spacing w:val="0"/>
          <w:position w:val="0"/>
          <w:sz w:val="24"/>
          <w:shd w:fill="FFFFFF" w:val="clear"/>
        </w:rPr>
        <w:t xml:space="preserve"> ze skargami w sprawach, które dotyczą tych osób, dotyczącymi niewłaściwego administrowania w działaniach instytucji, organów lub jednostek organizacyjnych, z wyłączeniem Trybunału Sprawiedliwości i </w:t>
      </w:r>
      <w:hyperlink xmlns:r="http://schemas.openxmlformats.org/officeDocument/2006/relationships" r:id="docRId16">
        <w:r>
          <w:rPr>
            <w:rFonts w:ascii="Arial" w:hAnsi="Arial" w:cs="Arial" w:eastAsia="Arial"/>
            <w:color w:val="auto"/>
            <w:spacing w:val="0"/>
            <w:position w:val="0"/>
            <w:sz w:val="24"/>
            <w:shd w:fill="FFFFFF" w:val="clear"/>
          </w:rPr>
          <w:t xml:space="preserve">Sądu</w:t>
        </w:r>
      </w:hyperlink>
      <w:r>
        <w:rPr>
          <w:rFonts w:ascii="Arial" w:hAnsi="Arial" w:cs="Arial" w:eastAsia="Arial"/>
          <w:color w:val="auto"/>
          <w:spacing w:val="0"/>
          <w:position w:val="0"/>
          <w:sz w:val="24"/>
          <w:shd w:fill="FFFFFF" w:val="clear"/>
        </w:rPr>
        <w:t xml:space="preserve"> wykonujących swoje funkcje sądowe.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Można tego dokonać w dowolnym z </w:t>
      </w:r>
      <w:hyperlink xmlns:r="http://schemas.openxmlformats.org/officeDocument/2006/relationships" r:id="docRId17">
        <w:r>
          <w:rPr>
            <w:rFonts w:ascii="Arial" w:hAnsi="Arial" w:cs="Arial" w:eastAsia="Arial"/>
            <w:color w:val="auto"/>
            <w:spacing w:val="0"/>
            <w:position w:val="0"/>
            <w:sz w:val="24"/>
            <w:shd w:fill="FFFFFF" w:val="clear"/>
          </w:rPr>
          <w:t xml:space="preserve">języków Unii</w:t>
        </w:r>
      </w:hyperlink>
      <w:r>
        <w:rPr>
          <w:rFonts w:ascii="Arial" w:hAnsi="Arial" w:cs="Arial" w:eastAsia="Arial"/>
          <w:color w:val="auto"/>
          <w:spacing w:val="0"/>
          <w:position w:val="0"/>
          <w:sz w:val="24"/>
          <w:shd w:fill="FFFFFF" w:val="clear"/>
        </w:rPr>
        <w:t xml:space="preserve"> i otrzymuje się odpowiedź w tym samym języku.</w:t>
      </w:r>
    </w:p>
    <w:p>
      <w:pPr>
        <w:spacing w:before="120" w:after="120" w:line="360"/>
        <w:ind w:right="0" w:left="384"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both"/>
        <w:rPr>
          <w:rFonts w:ascii="Arial" w:hAnsi="Arial" w:cs="Arial" w:eastAsia="Arial"/>
          <w:color w:val="auto"/>
          <w:spacing w:val="0"/>
          <w:position w:val="0"/>
          <w:sz w:val="24"/>
          <w:shd w:fill="auto" w:val="clear"/>
        </w:rPr>
      </w:pPr>
    </w:p>
    <w:p>
      <w:pPr>
        <w:spacing w:before="120" w:after="120" w:line="360"/>
        <w:ind w:right="0" w:left="384" w:firstLine="0"/>
        <w:jc w:val="both"/>
        <w:rPr>
          <w:rFonts w:ascii="Arial" w:hAnsi="Arial" w:cs="Arial" w:eastAsia="Arial"/>
          <w:color w:val="auto"/>
          <w:spacing w:val="0"/>
          <w:position w:val="0"/>
          <w:sz w:val="24"/>
          <w:shd w:fill="FFFFFF" w:val="clear"/>
        </w:rPr>
      </w:pPr>
    </w:p>
    <w:p>
      <w:pPr>
        <w:numPr>
          <w:ilvl w:val="0"/>
          <w:numId w:val="34"/>
        </w:numPr>
        <w:spacing w:before="72" w:after="0" w:line="360"/>
        <w:ind w:right="0" w:left="744" w:hanging="36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Opieka dyplomatyczna i konsularna</w:t>
      </w:r>
    </w:p>
    <w:p>
      <w:pPr>
        <w:spacing w:before="72" w:after="0" w:line="360"/>
        <w:ind w:right="0" w:left="744" w:firstLine="0"/>
        <w:jc w:val="both"/>
        <w:rPr>
          <w:rFonts w:ascii="Arial" w:hAnsi="Arial" w:cs="Arial" w:eastAsia="Arial"/>
          <w:b/>
          <w:color w:val="auto"/>
          <w:spacing w:val="0"/>
          <w:position w:val="0"/>
          <w:sz w:val="24"/>
          <w:shd w:fill="FFFFFF" w:val="clear"/>
        </w:rPr>
      </w:pPr>
    </w:p>
    <w:p>
      <w:pPr>
        <w:spacing w:before="0" w:after="160" w:line="360"/>
        <w:ind w:right="0" w:left="384" w:firstLine="0"/>
        <w:jc w:val="both"/>
        <w:rPr>
          <w:rFonts w:ascii="Arial" w:hAnsi="Arial" w:cs="Arial" w:eastAsia="Arial"/>
          <w:color w:val="auto"/>
          <w:spacing w:val="0"/>
          <w:position w:val="0"/>
          <w:sz w:val="24"/>
          <w:shd w:fill="F8F9FA" w:val="clear"/>
        </w:rPr>
      </w:pPr>
      <w:r>
        <w:object w:dxaOrig="3168" w:dyaOrig="4665">
          <v:rect xmlns:o="urn:schemas-microsoft-com:office:office" xmlns:v="urn:schemas-microsoft-com:vml" id="rectole0000000000" style="width:158.400000pt;height:233.25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0" ShapeID="rectole0000000000" r:id="docRId18"/>
        </w:object>
      </w:r>
    </w:p>
    <w:p>
      <w:pPr>
        <w:spacing w:before="120" w:after="120" w:line="360"/>
        <w:ind w:right="0" w:left="384" w:firstLine="0"/>
        <w:jc w:val="both"/>
        <w:rPr>
          <w:rFonts w:ascii="Arial" w:hAnsi="Arial" w:cs="Arial" w:eastAsia="Arial"/>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Obywatelom UE przysługuje prawo do opieki dyplomatycznej i konsularnej ze strony innych państw członkowskich.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Prawo to nie obejmuje nieposiadających obywatelstwa UE rodzin obywateli UE.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Z ochrony można skorzystać w przypadku zgonu, poważnego wypadku i ciężkiej choroby, aresztowania lub zatrzymania i aktów przemocy;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Pomocy udziela się w repatriacji do kraju pozbawionych środków obywateli Unii. Placówki dyplomatyczne mogą, w ramach swoich uprawnień, przyjść z pomocą także w innych okolicznościach. </w:t>
      </w:r>
    </w:p>
    <w:p>
      <w:pPr>
        <w:spacing w:before="120" w:after="120" w:line="360"/>
        <w:ind w:right="0" w:left="384" w:firstLine="0"/>
        <w:jc w:val="both"/>
        <w:rPr>
          <w:rFonts w:ascii="Arial" w:hAnsi="Arial" w:cs="Arial" w:eastAsia="Arial"/>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160" w:line="259"/>
        <w:ind w:right="0" w:left="0" w:firstLine="0"/>
        <w:jc w:val="both"/>
        <w:rPr>
          <w:rFonts w:ascii="Arial" w:hAnsi="Arial" w:cs="Arial" w:eastAsia="Arial"/>
          <w:color w:val="auto"/>
          <w:spacing w:val="0"/>
          <w:position w:val="0"/>
          <w:sz w:val="24"/>
          <w:shd w:fill="auto" w:val="clear"/>
        </w:rPr>
      </w:pPr>
    </w:p>
    <w:p>
      <w:pPr>
        <w:numPr>
          <w:ilvl w:val="0"/>
          <w:numId w:val="39"/>
        </w:numPr>
        <w:spacing w:before="72" w:after="0" w:line="360"/>
        <w:ind w:right="0" w:left="744" w:hanging="36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Dostęp do dokumentów</w:t>
      </w:r>
    </w:p>
    <w:p>
      <w:pPr>
        <w:spacing w:before="72" w:after="0" w:line="360"/>
        <w:ind w:right="0" w:left="744" w:firstLine="0"/>
        <w:jc w:val="both"/>
        <w:rPr>
          <w:rFonts w:ascii="Arial" w:hAnsi="Arial" w:cs="Arial" w:eastAsia="Arial"/>
          <w:b/>
          <w:color w:val="auto"/>
          <w:spacing w:val="0"/>
          <w:position w:val="0"/>
          <w:sz w:val="24"/>
          <w:shd w:fill="FFFFFF" w:val="clear"/>
        </w:rPr>
      </w:pP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 ramach zasady przejrzystości Unia zapewnia swoim obywatelom prawo dostępu do swoich dokumentów.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Kwestię tę reguluje artykuł 15 TFUE, w którym jest mowa, że </w:t>
      </w:r>
      <w:r>
        <w:rPr>
          <w:rFonts w:ascii="Arial" w:hAnsi="Arial" w:cs="Arial" w:eastAsia="Arial"/>
          <w:b/>
          <w:i/>
          <w:color w:val="auto"/>
          <w:spacing w:val="0"/>
          <w:position w:val="0"/>
          <w:sz w:val="24"/>
          <w:shd w:fill="FFFFFF" w:val="clear"/>
        </w:rPr>
        <w:t xml:space="preserve">każdy obywatel Unii i każda osoba fizyczna lub prawna mająca miejsce zamieszkania lub siedzibę statutową w Państwie Członkowskim ma prawo dostępu do dokumentów instytucji, organów i jednostek organizacyjnych Unii, niezależnie od ich formy […]</w:t>
      </w:r>
      <w:r>
        <w:rPr>
          <w:rFonts w:ascii="Arial" w:hAnsi="Arial" w:cs="Arial" w:eastAsia="Arial"/>
          <w:b/>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Dostęp nie jest jednak całkowity. Nie są udostępniane dokumenty dotyczące państw członkowskich i petycji dotyczących osób fizycznych i prawnych bez ich zgody.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Odmowa następuje zawsze w przypadku, gdy ujawnienie naruszyłoby ochronę interesu publicznego w kwestiach bezpieczeństwa publicznego, obrony i wojskowości, stosunków międzynarodowych, finansów, polityki monetarnej czy ekonomicznej Unii lub państwa członkowskiego bądź prywatność osoby fizycznej, zwłaszcza w kwestii danych osobowych.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 przypadku, gdy ujawnienie naruszyłoby ochronę postępowania sądowego lub porady prawnej, celu kontroli, śledztwa czy audytu bądź interesów handlowych osoby fizycznej lub prawnej, w tym własności intelektualnej, także następuje odmowa, ale dopuszcza się wyjątek w przypadkach, gdy za ujawnieniem przemawia interes publiczny. </w:t>
      </w:r>
    </w:p>
    <w:p>
      <w:pPr>
        <w:spacing w:before="120" w:after="120" w:line="360"/>
        <w:ind w:right="0" w:left="384"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Z wyjątkiem powodów dotyczących prywatności oraz interesów handlowych oraz w wypadku dokumentów wrażliwych, odmowa z powyższych powodów może następować tylko przez 30 lat</w:t>
      </w:r>
    </w:p>
    <w:p>
      <w:pPr>
        <w:spacing w:before="0" w:after="160" w:line="36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6">
    <w:abstractNumId w:val="54"/>
  </w:num>
  <w:num w:numId="9">
    <w:abstractNumId w:val="48"/>
  </w:num>
  <w:num w:numId="14">
    <w:abstractNumId w:val="42"/>
  </w:num>
  <w:num w:numId="17">
    <w:abstractNumId w:val="36"/>
  </w:num>
  <w:num w:numId="19">
    <w:abstractNumId w:val="30"/>
  </w:num>
  <w:num w:numId="23">
    <w:abstractNumId w:val="24"/>
  </w:num>
  <w:num w:numId="26">
    <w:abstractNumId w:val="18"/>
  </w:num>
  <w:num w:numId="29">
    <w:abstractNumId w:val="12"/>
  </w:num>
  <w:num w:numId="34">
    <w:abstractNumId w:val="6"/>
  </w:num>
  <w:num w:numId="3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pl.wikipedia.org/wiki/J%C4%99zyki_w_Unii_Europejskiej" Id="docRId17" Type="http://schemas.openxmlformats.org/officeDocument/2006/relationships/hyperlink"/><Relationship TargetMode="External" Target="https://pl.wikipedia.org/wiki/Trybuna%C5%82_Sprawiedliwo%C5%9Bci_Unii_Europejskiej" Id="docRId7" Type="http://schemas.openxmlformats.org/officeDocument/2006/relationships/hyperlink"/><Relationship TargetMode="External" Target="https://pl.wikipedia.org/wiki/Komisja_Europejska" Id="docRId14" Type="http://schemas.openxmlformats.org/officeDocument/2006/relationships/hyperlink"/><Relationship TargetMode="External" Target="https://pl.wikipedia.org/wiki/Traktat_o_funkcjonowaniu_Unii_Europejskiej" Id="docRId6" Type="http://schemas.openxmlformats.org/officeDocument/2006/relationships/hyperlink"/><Relationship TargetMode="External" Target="https://pl.wikipedia.org/wiki/Traktat_lizbo%C5%84ski" Id="docRId1" Type="http://schemas.openxmlformats.org/officeDocument/2006/relationships/hyperlink"/><Relationship TargetMode="External" Target="https://pl.wikipedia.org/wiki/Bierne_prawo_wyborcze" Id="docRId11" Type="http://schemas.openxmlformats.org/officeDocument/2006/relationships/hyperlink"/><Relationship TargetMode="External" Target="https://pl.wikipedia.org/wiki/Europejski_Rzecznik_Praw_Obywatelskich" Id="docRId15" Type="http://schemas.openxmlformats.org/officeDocument/2006/relationships/hyperlink"/><Relationship Target="media/image0.wmf" Id="docRId19" Type="http://schemas.openxmlformats.org/officeDocument/2006/relationships/image"/><Relationship TargetMode="External" Target="https://pl.wikipedia.org/wiki/Pa%C5%84stwa_cz%C5%82onkowskie_Unii_Europejskiej" Id="docRId5" Type="http://schemas.openxmlformats.org/officeDocument/2006/relationships/hyperlink"/><Relationship TargetMode="External" Target="https://pl.wikipedia.org/wiki/Parlament_Europejski" Id="docRId9" Type="http://schemas.openxmlformats.org/officeDocument/2006/relationships/hyperlink"/><Relationship TargetMode="External" Target="https://pl.wikipedia.org/wiki/Traktat_z_Maastricht" Id="docRId0" Type="http://schemas.openxmlformats.org/officeDocument/2006/relationships/hyperlink"/><Relationship TargetMode="External" Target="https://pl.wikipedia.org/wiki/Referendum_lokalne" Id="docRId12" Type="http://schemas.openxmlformats.org/officeDocument/2006/relationships/hyperlink"/><Relationship TargetMode="External" Target="https://pl.wikipedia.org/wiki/S%C4%85d_(Unia_Europejska)" Id="docRId16" Type="http://schemas.openxmlformats.org/officeDocument/2006/relationships/hyperlink"/><Relationship Target="styles.xml" Id="docRId21" Type="http://schemas.openxmlformats.org/officeDocument/2006/relationships/styles"/><Relationship TargetMode="External" Target="https://pl.wikipedia.org/wiki/Traktat_o_Unii_Europejskiej" Id="docRId4" Type="http://schemas.openxmlformats.org/officeDocument/2006/relationships/hyperlink"/><Relationship TargetMode="External" Target="https://pl.wikipedia.org/wiki/Osoba_prawna" Id="docRId8" Type="http://schemas.openxmlformats.org/officeDocument/2006/relationships/hyperlink"/><Relationship TargetMode="External" Target="https://pl.wikipedia.org/wiki/Inicjatywa_ustawodawcza" Id="docRId13" Type="http://schemas.openxmlformats.org/officeDocument/2006/relationships/hyperlink"/><Relationship Target="numbering.xml" Id="docRId20" Type="http://schemas.openxmlformats.org/officeDocument/2006/relationships/numbering"/><Relationship TargetMode="External" Target="https://pl.wikipedia.org/wiki/Obywatelstwo" Id="docRId3" Type="http://schemas.openxmlformats.org/officeDocument/2006/relationships/hyperlink"/><Relationship TargetMode="External" Target="https://pl.wikipedia.org/wiki/Czynne_prawo_wyborcze" Id="docRId10" Type="http://schemas.openxmlformats.org/officeDocument/2006/relationships/hyperlink"/><Relationship Target="embeddings/oleObject0.bin" Id="docRId18" Type="http://schemas.openxmlformats.org/officeDocument/2006/relationships/oleObject"/><Relationship TargetMode="External" Target="https://pl.wikipedia.org/wiki/Karta_praw_podstawowych" Id="docRId2" Type="http://schemas.openxmlformats.org/officeDocument/2006/relationships/hyperlink"/></Relationships>
</file>