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65" w:rsidRPr="00DD0965" w:rsidRDefault="00DD0965" w:rsidP="00DD0965">
      <w:pPr>
        <w:shd w:val="clear" w:color="auto" w:fill="FFFFFF"/>
        <w:spacing w:before="120" w:after="240" w:line="360" w:lineRule="auto"/>
        <w:jc w:val="both"/>
        <w:rPr>
          <w:rFonts w:ascii="Arial" w:eastAsia="Times New Roman" w:hAnsi="Arial" w:cs="Arial"/>
          <w:color w:val="202122"/>
          <w:sz w:val="24"/>
          <w:szCs w:val="24"/>
          <w:lang w:eastAsia="pl-PL"/>
        </w:rPr>
      </w:pPr>
      <w:r w:rsidRPr="00DD0965">
        <w:rPr>
          <w:rFonts w:ascii="Arial" w:eastAsia="Times New Roman" w:hAnsi="Arial" w:cs="Arial"/>
          <w:b/>
          <w:bCs/>
          <w:color w:val="202122"/>
          <w:sz w:val="24"/>
          <w:szCs w:val="24"/>
          <w:lang w:eastAsia="pl-PL"/>
        </w:rPr>
        <w:t>BRICS</w:t>
      </w:r>
      <w:r w:rsidRPr="00DD0965">
        <w:rPr>
          <w:rFonts w:ascii="Arial" w:eastAsia="Times New Roman" w:hAnsi="Arial" w:cs="Arial"/>
          <w:color w:val="202122"/>
          <w:sz w:val="24"/>
          <w:szCs w:val="24"/>
          <w:lang w:eastAsia="pl-PL"/>
        </w:rPr>
        <w:t> (</w:t>
      </w:r>
      <w:hyperlink r:id="rId5" w:tooltip="Język angielski" w:history="1">
        <w:r w:rsidRPr="00DD0965">
          <w:rPr>
            <w:rFonts w:ascii="Arial" w:eastAsia="Times New Roman" w:hAnsi="Arial" w:cs="Arial"/>
            <w:color w:val="0000FF"/>
            <w:sz w:val="24"/>
            <w:szCs w:val="24"/>
            <w:lang w:eastAsia="pl-PL"/>
          </w:rPr>
          <w:t>ang.</w:t>
        </w:r>
      </w:hyperlink>
      <w:r w:rsidRPr="00DD0965">
        <w:rPr>
          <w:rFonts w:ascii="Arial" w:eastAsia="Times New Roman" w:hAnsi="Arial" w:cs="Arial"/>
          <w:color w:val="202122"/>
          <w:sz w:val="24"/>
          <w:szCs w:val="24"/>
          <w:lang w:eastAsia="pl-PL"/>
        </w:rPr>
        <w:t> </w:t>
      </w:r>
      <w:proofErr w:type="spellStart"/>
      <w:r w:rsidRPr="00DD0965">
        <w:rPr>
          <w:rFonts w:ascii="Arial" w:eastAsia="Times New Roman" w:hAnsi="Arial" w:cs="Arial"/>
          <w:b/>
          <w:bCs/>
          <w:i/>
          <w:iCs/>
          <w:color w:val="202122"/>
          <w:sz w:val="24"/>
          <w:szCs w:val="24"/>
          <w:lang w:eastAsia="pl-PL"/>
        </w:rPr>
        <w:t>B</w:t>
      </w:r>
      <w:r w:rsidRPr="00DD0965">
        <w:rPr>
          <w:rFonts w:ascii="Arial" w:eastAsia="Times New Roman" w:hAnsi="Arial" w:cs="Arial"/>
          <w:i/>
          <w:iCs/>
          <w:color w:val="202122"/>
          <w:sz w:val="24"/>
          <w:szCs w:val="24"/>
          <w:lang w:eastAsia="pl-PL"/>
        </w:rPr>
        <w:t>razil</w:t>
      </w:r>
      <w:proofErr w:type="spellEnd"/>
      <w:r w:rsidRPr="00DD0965">
        <w:rPr>
          <w:rFonts w:ascii="Arial" w:eastAsia="Times New Roman" w:hAnsi="Arial" w:cs="Arial"/>
          <w:i/>
          <w:iCs/>
          <w:color w:val="202122"/>
          <w:sz w:val="24"/>
          <w:szCs w:val="24"/>
          <w:lang w:eastAsia="pl-PL"/>
        </w:rPr>
        <w:t>, </w:t>
      </w:r>
      <w:r w:rsidRPr="00DD0965">
        <w:rPr>
          <w:rFonts w:ascii="Arial" w:eastAsia="Times New Roman" w:hAnsi="Arial" w:cs="Arial"/>
          <w:b/>
          <w:bCs/>
          <w:i/>
          <w:iCs/>
          <w:color w:val="202122"/>
          <w:sz w:val="24"/>
          <w:szCs w:val="24"/>
          <w:lang w:eastAsia="pl-PL"/>
        </w:rPr>
        <w:t>R</w:t>
      </w:r>
      <w:r w:rsidRPr="00DD0965">
        <w:rPr>
          <w:rFonts w:ascii="Arial" w:eastAsia="Times New Roman" w:hAnsi="Arial" w:cs="Arial"/>
          <w:i/>
          <w:iCs/>
          <w:color w:val="202122"/>
          <w:sz w:val="24"/>
          <w:szCs w:val="24"/>
          <w:lang w:eastAsia="pl-PL"/>
        </w:rPr>
        <w:t>ussia, </w:t>
      </w:r>
      <w:proofErr w:type="spellStart"/>
      <w:r w:rsidRPr="00DD0965">
        <w:rPr>
          <w:rFonts w:ascii="Arial" w:eastAsia="Times New Roman" w:hAnsi="Arial" w:cs="Arial"/>
          <w:b/>
          <w:bCs/>
          <w:i/>
          <w:iCs/>
          <w:color w:val="202122"/>
          <w:sz w:val="24"/>
          <w:szCs w:val="24"/>
          <w:lang w:eastAsia="pl-PL"/>
        </w:rPr>
        <w:t>I</w:t>
      </w:r>
      <w:r w:rsidRPr="00DD0965">
        <w:rPr>
          <w:rFonts w:ascii="Arial" w:eastAsia="Times New Roman" w:hAnsi="Arial" w:cs="Arial"/>
          <w:i/>
          <w:iCs/>
          <w:color w:val="202122"/>
          <w:sz w:val="24"/>
          <w:szCs w:val="24"/>
          <w:lang w:eastAsia="pl-PL"/>
        </w:rPr>
        <w:t>ndia</w:t>
      </w:r>
      <w:proofErr w:type="spellEnd"/>
      <w:r w:rsidRPr="00DD0965">
        <w:rPr>
          <w:rFonts w:ascii="Arial" w:eastAsia="Times New Roman" w:hAnsi="Arial" w:cs="Arial"/>
          <w:i/>
          <w:iCs/>
          <w:color w:val="202122"/>
          <w:sz w:val="24"/>
          <w:szCs w:val="24"/>
          <w:lang w:eastAsia="pl-PL"/>
        </w:rPr>
        <w:t>, </w:t>
      </w:r>
      <w:r w:rsidRPr="00DD0965">
        <w:rPr>
          <w:rFonts w:ascii="Arial" w:eastAsia="Times New Roman" w:hAnsi="Arial" w:cs="Arial"/>
          <w:b/>
          <w:bCs/>
          <w:i/>
          <w:iCs/>
          <w:color w:val="202122"/>
          <w:sz w:val="24"/>
          <w:szCs w:val="24"/>
          <w:lang w:eastAsia="pl-PL"/>
        </w:rPr>
        <w:t>C</w:t>
      </w:r>
      <w:r w:rsidRPr="00DD0965">
        <w:rPr>
          <w:rFonts w:ascii="Arial" w:eastAsia="Times New Roman" w:hAnsi="Arial" w:cs="Arial"/>
          <w:i/>
          <w:iCs/>
          <w:color w:val="202122"/>
          <w:sz w:val="24"/>
          <w:szCs w:val="24"/>
          <w:lang w:eastAsia="pl-PL"/>
        </w:rPr>
        <w:t>hina, </w:t>
      </w:r>
      <w:proofErr w:type="spellStart"/>
      <w:r w:rsidRPr="00DD0965">
        <w:rPr>
          <w:rFonts w:ascii="Arial" w:eastAsia="Times New Roman" w:hAnsi="Arial" w:cs="Arial"/>
          <w:b/>
          <w:bCs/>
          <w:i/>
          <w:iCs/>
          <w:color w:val="202122"/>
          <w:sz w:val="24"/>
          <w:szCs w:val="24"/>
          <w:lang w:eastAsia="pl-PL"/>
        </w:rPr>
        <w:t>S</w:t>
      </w:r>
      <w:r w:rsidRPr="00DD0965">
        <w:rPr>
          <w:rFonts w:ascii="Arial" w:eastAsia="Times New Roman" w:hAnsi="Arial" w:cs="Arial"/>
          <w:i/>
          <w:iCs/>
          <w:color w:val="202122"/>
          <w:sz w:val="24"/>
          <w:szCs w:val="24"/>
          <w:lang w:eastAsia="pl-PL"/>
        </w:rPr>
        <w:t>outh</w:t>
      </w:r>
      <w:proofErr w:type="spellEnd"/>
      <w:r w:rsidRPr="00DD0965">
        <w:rPr>
          <w:rFonts w:ascii="Arial" w:eastAsia="Times New Roman" w:hAnsi="Arial" w:cs="Arial"/>
          <w:i/>
          <w:iCs/>
          <w:color w:val="202122"/>
          <w:sz w:val="24"/>
          <w:szCs w:val="24"/>
          <w:lang w:eastAsia="pl-PL"/>
        </w:rPr>
        <w:t xml:space="preserve"> </w:t>
      </w:r>
      <w:proofErr w:type="spellStart"/>
      <w:r w:rsidRPr="00DD0965">
        <w:rPr>
          <w:rFonts w:ascii="Arial" w:eastAsia="Times New Roman" w:hAnsi="Arial" w:cs="Arial"/>
          <w:i/>
          <w:iCs/>
          <w:color w:val="202122"/>
          <w:sz w:val="24"/>
          <w:szCs w:val="24"/>
          <w:lang w:eastAsia="pl-PL"/>
        </w:rPr>
        <w:t>Africa</w:t>
      </w:r>
      <w:proofErr w:type="spellEnd"/>
      <w:r w:rsidRPr="00DD0965">
        <w:rPr>
          <w:rFonts w:ascii="Arial" w:eastAsia="Times New Roman" w:hAnsi="Arial" w:cs="Arial"/>
          <w:color w:val="202122"/>
          <w:sz w:val="24"/>
          <w:szCs w:val="24"/>
          <w:lang w:eastAsia="pl-PL"/>
        </w:rPr>
        <w:t>) – organizacja międzyrządowa składająca się z dziesięciu krajów: Brazylii, Rosji, Indii, Chin, Republiki Południowej Afryki, Egiptu, Etiopii, Indonezji, Iranu i Zjednoczonych Emiratów Arabskich.</w:t>
      </w:r>
    </w:p>
    <w:p w:rsidR="00DD0965" w:rsidRPr="00DD0965" w:rsidRDefault="00DD0965" w:rsidP="00DD0965">
      <w:pPr>
        <w:shd w:val="clear" w:color="auto" w:fill="FFFFFF"/>
        <w:spacing w:after="60" w:line="240" w:lineRule="auto"/>
        <w:outlineLvl w:val="1"/>
        <w:rPr>
          <w:rFonts w:ascii="Georgia" w:eastAsia="Times New Roman" w:hAnsi="Georgia" w:cs="Times New Roman"/>
          <w:b/>
          <w:bCs/>
          <w:sz w:val="28"/>
          <w:szCs w:val="28"/>
          <w:lang w:eastAsia="pl-PL"/>
        </w:rPr>
      </w:pPr>
      <w:r w:rsidRPr="00DD0965">
        <w:rPr>
          <w:rFonts w:ascii="Georgia" w:eastAsia="Times New Roman" w:hAnsi="Georgia" w:cs="Times New Roman"/>
          <w:b/>
          <w:bCs/>
          <w:sz w:val="28"/>
          <w:szCs w:val="28"/>
          <w:lang w:eastAsia="pl-PL"/>
        </w:rPr>
        <w:t>Historia</w:t>
      </w:r>
    </w:p>
    <w:p w:rsidR="00DD0965" w:rsidRP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sidRPr="00DD0965">
        <w:rPr>
          <w:rFonts w:ascii="Arial" w:eastAsia="Times New Roman" w:hAnsi="Arial" w:cs="Arial"/>
          <w:sz w:val="24"/>
          <w:szCs w:val="24"/>
          <w:lang w:eastAsia="pl-PL"/>
        </w:rPr>
        <w:t>Określenie „BRIC” zostało po raz pierwszy użyte przez Jima O'Neilla w publikacji „</w:t>
      </w:r>
      <w:proofErr w:type="spellStart"/>
      <w:r w:rsidRPr="00DD0965">
        <w:rPr>
          <w:rFonts w:ascii="Arial" w:eastAsia="Times New Roman" w:hAnsi="Arial" w:cs="Arial"/>
          <w:sz w:val="24"/>
          <w:szCs w:val="24"/>
          <w:lang w:eastAsia="pl-PL"/>
        </w:rPr>
        <w:t>Building</w:t>
      </w:r>
      <w:proofErr w:type="spellEnd"/>
      <w:r w:rsidRPr="00DD0965">
        <w:rPr>
          <w:rFonts w:ascii="Arial" w:eastAsia="Times New Roman" w:hAnsi="Arial" w:cs="Arial"/>
          <w:sz w:val="24"/>
          <w:szCs w:val="24"/>
          <w:lang w:eastAsia="pl-PL"/>
        </w:rPr>
        <w:t xml:space="preserve"> </w:t>
      </w:r>
      <w:proofErr w:type="spellStart"/>
      <w:r w:rsidRPr="00DD0965">
        <w:rPr>
          <w:rFonts w:ascii="Arial" w:eastAsia="Times New Roman" w:hAnsi="Arial" w:cs="Arial"/>
          <w:sz w:val="24"/>
          <w:szCs w:val="24"/>
          <w:lang w:eastAsia="pl-PL"/>
        </w:rPr>
        <w:t>Better</w:t>
      </w:r>
      <w:proofErr w:type="spellEnd"/>
      <w:r w:rsidRPr="00DD0965">
        <w:rPr>
          <w:rFonts w:ascii="Arial" w:eastAsia="Times New Roman" w:hAnsi="Arial" w:cs="Arial"/>
          <w:sz w:val="24"/>
          <w:szCs w:val="24"/>
          <w:lang w:eastAsia="pl-PL"/>
        </w:rPr>
        <w:t xml:space="preserve"> </w:t>
      </w:r>
      <w:proofErr w:type="spellStart"/>
      <w:r w:rsidRPr="00DD0965">
        <w:rPr>
          <w:rFonts w:ascii="Arial" w:eastAsia="Times New Roman" w:hAnsi="Arial" w:cs="Arial"/>
          <w:sz w:val="24"/>
          <w:szCs w:val="24"/>
          <w:lang w:eastAsia="pl-PL"/>
        </w:rPr>
        <w:t>Economic</w:t>
      </w:r>
      <w:proofErr w:type="spellEnd"/>
      <w:r w:rsidRPr="00DD0965">
        <w:rPr>
          <w:rFonts w:ascii="Arial" w:eastAsia="Times New Roman" w:hAnsi="Arial" w:cs="Arial"/>
          <w:sz w:val="24"/>
          <w:szCs w:val="24"/>
          <w:lang w:eastAsia="pl-PL"/>
        </w:rPr>
        <w:t xml:space="preserve"> </w:t>
      </w:r>
      <w:proofErr w:type="spellStart"/>
      <w:r w:rsidRPr="00DD0965">
        <w:rPr>
          <w:rFonts w:ascii="Arial" w:eastAsia="Times New Roman" w:hAnsi="Arial" w:cs="Arial"/>
          <w:sz w:val="24"/>
          <w:szCs w:val="24"/>
          <w:lang w:eastAsia="pl-PL"/>
        </w:rPr>
        <w:t>BRICs</w:t>
      </w:r>
      <w:proofErr w:type="spellEnd"/>
      <w:r w:rsidRPr="00DD0965">
        <w:rPr>
          <w:rFonts w:ascii="Arial" w:eastAsia="Times New Roman" w:hAnsi="Arial" w:cs="Arial"/>
          <w:sz w:val="24"/>
          <w:szCs w:val="24"/>
          <w:lang w:eastAsia="pl-PL"/>
        </w:rPr>
        <w:t>” opublikowanej w listopadzie 2001, a następnie rozpowszechnione w 2003, dzięki ogłoszonej przez </w:t>
      </w:r>
      <w:hyperlink r:id="rId6" w:tooltip="Goldman Sachs" w:history="1">
        <w:r w:rsidRPr="00DD0965">
          <w:rPr>
            <w:rFonts w:ascii="Arial" w:eastAsia="Times New Roman" w:hAnsi="Arial" w:cs="Arial"/>
            <w:sz w:val="24"/>
            <w:szCs w:val="24"/>
            <w:lang w:eastAsia="pl-PL"/>
          </w:rPr>
          <w:t xml:space="preserve">Goldman </w:t>
        </w:r>
        <w:proofErr w:type="spellStart"/>
        <w:r w:rsidRPr="00DD0965">
          <w:rPr>
            <w:rFonts w:ascii="Arial" w:eastAsia="Times New Roman" w:hAnsi="Arial" w:cs="Arial"/>
            <w:sz w:val="24"/>
            <w:szCs w:val="24"/>
            <w:lang w:eastAsia="pl-PL"/>
          </w:rPr>
          <w:t>Sachs</w:t>
        </w:r>
        <w:proofErr w:type="spellEnd"/>
      </w:hyperlink>
      <w:r w:rsidRPr="00DD0965">
        <w:rPr>
          <w:rFonts w:ascii="Arial" w:eastAsia="Times New Roman" w:hAnsi="Arial" w:cs="Arial"/>
          <w:sz w:val="24"/>
          <w:szCs w:val="24"/>
          <w:lang w:eastAsia="pl-PL"/>
        </w:rPr>
        <w:t> prognozie, z której wynikało, że do połowy XXI wieku państwa te będą potęgami światowymi.</w:t>
      </w:r>
    </w:p>
    <w:p w:rsidR="00DD0965" w:rsidRP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sidRPr="00DD0965">
        <w:rPr>
          <w:rFonts w:ascii="Arial" w:eastAsia="Times New Roman" w:hAnsi="Arial" w:cs="Arial"/>
          <w:sz w:val="24"/>
          <w:szCs w:val="24"/>
          <w:lang w:eastAsia="pl-PL"/>
        </w:rPr>
        <w:t>Po raz pierwszy jako BRIC państwa te spotkały się na szczeblu ministerstw spraw zagranicznych podczas </w:t>
      </w:r>
      <w:hyperlink r:id="rId7" w:tooltip="Zgromadzenie Ogólne Organizacji Narodów Zjednoczonych" w:history="1">
        <w:r w:rsidRPr="00DD0965">
          <w:rPr>
            <w:rFonts w:ascii="Arial" w:eastAsia="Times New Roman" w:hAnsi="Arial" w:cs="Arial"/>
            <w:sz w:val="24"/>
            <w:szCs w:val="24"/>
            <w:lang w:eastAsia="pl-PL"/>
          </w:rPr>
          <w:t>Zgromadzenia Ogólnego Narodów Zjednoczonych</w:t>
        </w:r>
      </w:hyperlink>
      <w:r w:rsidRPr="00DD0965">
        <w:rPr>
          <w:rFonts w:ascii="Arial" w:eastAsia="Times New Roman" w:hAnsi="Arial" w:cs="Arial"/>
          <w:sz w:val="24"/>
          <w:szCs w:val="24"/>
          <w:lang w:eastAsia="pl-PL"/>
        </w:rPr>
        <w:t> w </w:t>
      </w:r>
      <w:hyperlink r:id="rId8" w:tooltip="Nowy Jork" w:history="1">
        <w:r w:rsidRPr="00DD0965">
          <w:rPr>
            <w:rFonts w:ascii="Arial" w:eastAsia="Times New Roman" w:hAnsi="Arial" w:cs="Arial"/>
            <w:sz w:val="24"/>
            <w:szCs w:val="24"/>
            <w:lang w:eastAsia="pl-PL"/>
          </w:rPr>
          <w:t>Nowym Jorku</w:t>
        </w:r>
      </w:hyperlink>
      <w:r w:rsidRPr="00DD0965">
        <w:rPr>
          <w:rFonts w:ascii="Arial" w:eastAsia="Times New Roman" w:hAnsi="Arial" w:cs="Arial"/>
          <w:sz w:val="24"/>
          <w:szCs w:val="24"/>
          <w:lang w:eastAsia="pl-PL"/>
        </w:rPr>
        <w:t> w 2006. Rok później miało miejsce kolejne spotkanie, również z okazji Zgromadzenia Ogólnego ONZ.</w:t>
      </w:r>
    </w:p>
    <w:p w:rsidR="00DD0965" w:rsidRP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sidRPr="00DD0965">
        <w:rPr>
          <w:rFonts w:ascii="Arial" w:eastAsia="Times New Roman" w:hAnsi="Arial" w:cs="Arial"/>
          <w:sz w:val="24"/>
          <w:szCs w:val="24"/>
          <w:lang w:eastAsia="pl-PL"/>
        </w:rPr>
        <w:t>13 kwietnia 2011 do BRIC dołączyła Republika Południowej Afryki</w:t>
      </w:r>
      <w:hyperlink r:id="rId9" w:anchor="cite_note-RPA-2" w:history="1">
        <w:r w:rsidRPr="00DD0965">
          <w:rPr>
            <w:rFonts w:ascii="Arial" w:eastAsia="Times New Roman" w:hAnsi="Arial" w:cs="Arial"/>
            <w:sz w:val="24"/>
            <w:szCs w:val="24"/>
            <w:vertAlign w:val="superscript"/>
            <w:lang w:eastAsia="pl-PL"/>
          </w:rPr>
          <w:t>[</w:t>
        </w:r>
      </w:hyperlink>
      <w:r w:rsidRPr="00DD0965">
        <w:rPr>
          <w:rFonts w:ascii="Arial" w:eastAsia="Times New Roman" w:hAnsi="Arial" w:cs="Arial"/>
          <w:sz w:val="24"/>
          <w:szCs w:val="24"/>
          <w:lang w:eastAsia="pl-PL"/>
        </w:rPr>
        <w:t>.</w:t>
      </w:r>
    </w:p>
    <w:p w:rsid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sidRPr="00DD0965">
        <w:rPr>
          <w:rFonts w:ascii="Arial" w:eastAsia="Times New Roman" w:hAnsi="Arial" w:cs="Arial"/>
          <w:sz w:val="24"/>
          <w:szCs w:val="24"/>
          <w:lang w:eastAsia="pl-PL"/>
        </w:rPr>
        <w:t>24 sierpnia 2023 na szczycie w RPA ogłoszono rozszerzenie grupy 1 stycznia 2024 o </w:t>
      </w:r>
      <w:hyperlink r:id="rId10" w:tooltip="Argentyna" w:history="1">
        <w:r w:rsidRPr="00DD0965">
          <w:rPr>
            <w:rFonts w:ascii="Arial" w:eastAsia="Times New Roman" w:hAnsi="Arial" w:cs="Arial"/>
            <w:sz w:val="24"/>
            <w:szCs w:val="24"/>
            <w:lang w:eastAsia="pl-PL"/>
          </w:rPr>
          <w:t>Argentynę</w:t>
        </w:r>
      </w:hyperlink>
      <w:r w:rsidRPr="00DD0965">
        <w:rPr>
          <w:rFonts w:ascii="Arial" w:eastAsia="Times New Roman" w:hAnsi="Arial" w:cs="Arial"/>
          <w:sz w:val="24"/>
          <w:szCs w:val="24"/>
          <w:lang w:eastAsia="pl-PL"/>
        </w:rPr>
        <w:t>, </w:t>
      </w:r>
      <w:hyperlink r:id="rId11" w:tooltip="Egipt" w:history="1">
        <w:r w:rsidRPr="00DD0965">
          <w:rPr>
            <w:rFonts w:ascii="Arial" w:eastAsia="Times New Roman" w:hAnsi="Arial" w:cs="Arial"/>
            <w:sz w:val="24"/>
            <w:szCs w:val="24"/>
            <w:lang w:eastAsia="pl-PL"/>
          </w:rPr>
          <w:t>Egipt</w:t>
        </w:r>
      </w:hyperlink>
      <w:r w:rsidRPr="00DD0965">
        <w:rPr>
          <w:rFonts w:ascii="Arial" w:eastAsia="Times New Roman" w:hAnsi="Arial" w:cs="Arial"/>
          <w:sz w:val="24"/>
          <w:szCs w:val="24"/>
          <w:lang w:eastAsia="pl-PL"/>
        </w:rPr>
        <w:t>, </w:t>
      </w:r>
      <w:hyperlink r:id="rId12" w:tooltip="Etiopia" w:history="1">
        <w:r w:rsidRPr="00DD0965">
          <w:rPr>
            <w:rFonts w:ascii="Arial" w:eastAsia="Times New Roman" w:hAnsi="Arial" w:cs="Arial"/>
            <w:sz w:val="24"/>
            <w:szCs w:val="24"/>
            <w:lang w:eastAsia="pl-PL"/>
          </w:rPr>
          <w:t>Etiopię</w:t>
        </w:r>
      </w:hyperlink>
      <w:r w:rsidRPr="00DD0965">
        <w:rPr>
          <w:rFonts w:ascii="Arial" w:eastAsia="Times New Roman" w:hAnsi="Arial" w:cs="Arial"/>
          <w:sz w:val="24"/>
          <w:szCs w:val="24"/>
          <w:lang w:eastAsia="pl-PL"/>
        </w:rPr>
        <w:t>, </w:t>
      </w:r>
      <w:hyperlink r:id="rId13" w:tooltip="Arabia Saudyjska" w:history="1">
        <w:r w:rsidRPr="00DD0965">
          <w:rPr>
            <w:rFonts w:ascii="Arial" w:eastAsia="Times New Roman" w:hAnsi="Arial" w:cs="Arial"/>
            <w:sz w:val="24"/>
            <w:szCs w:val="24"/>
            <w:lang w:eastAsia="pl-PL"/>
          </w:rPr>
          <w:t>Arabię Saudyjską</w:t>
        </w:r>
      </w:hyperlink>
      <w:r w:rsidRPr="00DD0965">
        <w:rPr>
          <w:rFonts w:ascii="Arial" w:eastAsia="Times New Roman" w:hAnsi="Arial" w:cs="Arial"/>
          <w:sz w:val="24"/>
          <w:szCs w:val="24"/>
          <w:lang w:eastAsia="pl-PL"/>
        </w:rPr>
        <w:t>, </w:t>
      </w:r>
      <w:hyperlink r:id="rId14" w:tooltip="Iran" w:history="1">
        <w:r w:rsidRPr="00DD0965">
          <w:rPr>
            <w:rFonts w:ascii="Arial" w:eastAsia="Times New Roman" w:hAnsi="Arial" w:cs="Arial"/>
            <w:sz w:val="24"/>
            <w:szCs w:val="24"/>
            <w:lang w:eastAsia="pl-PL"/>
          </w:rPr>
          <w:t>Iran</w:t>
        </w:r>
      </w:hyperlink>
      <w:r w:rsidRPr="00DD0965">
        <w:rPr>
          <w:rFonts w:ascii="Arial" w:eastAsia="Times New Roman" w:hAnsi="Arial" w:cs="Arial"/>
          <w:sz w:val="24"/>
          <w:szCs w:val="24"/>
          <w:lang w:eastAsia="pl-PL"/>
        </w:rPr>
        <w:t> i </w:t>
      </w:r>
      <w:hyperlink r:id="rId15" w:tooltip="Zjednoczone Emiraty Arabskie" w:history="1">
        <w:r w:rsidRPr="00DD0965">
          <w:rPr>
            <w:rFonts w:ascii="Arial" w:eastAsia="Times New Roman" w:hAnsi="Arial" w:cs="Arial"/>
            <w:sz w:val="24"/>
            <w:szCs w:val="24"/>
            <w:lang w:eastAsia="pl-PL"/>
          </w:rPr>
          <w:t>Zjednoczone Emiraty Arabskie</w:t>
        </w:r>
      </w:hyperlink>
      <w:r w:rsidRPr="00DD0965">
        <w:rPr>
          <w:rFonts w:ascii="Arial" w:eastAsia="Times New Roman" w:hAnsi="Arial" w:cs="Arial"/>
          <w:sz w:val="24"/>
          <w:szCs w:val="24"/>
          <w:lang w:eastAsia="pl-PL"/>
        </w:rPr>
        <w:t>. Ostatecznie Argentyna, decyzją </w:t>
      </w:r>
      <w:hyperlink r:id="rId16" w:tooltip="Prezydenci Argentyny" w:history="1">
        <w:r w:rsidRPr="00DD0965">
          <w:rPr>
            <w:rFonts w:ascii="Arial" w:eastAsia="Times New Roman" w:hAnsi="Arial" w:cs="Arial"/>
            <w:sz w:val="24"/>
            <w:szCs w:val="24"/>
            <w:lang w:eastAsia="pl-PL"/>
          </w:rPr>
          <w:t>prezydenta</w:t>
        </w:r>
      </w:hyperlink>
      <w:r w:rsidRPr="00DD0965">
        <w:rPr>
          <w:rFonts w:ascii="Arial" w:eastAsia="Times New Roman" w:hAnsi="Arial" w:cs="Arial"/>
          <w:sz w:val="24"/>
          <w:szCs w:val="24"/>
          <w:lang w:eastAsia="pl-PL"/>
        </w:rPr>
        <w:t> </w:t>
      </w:r>
      <w:hyperlink r:id="rId17" w:tooltip="Javier Milei" w:history="1">
        <w:r w:rsidRPr="00DD0965">
          <w:rPr>
            <w:rFonts w:ascii="Arial" w:eastAsia="Times New Roman" w:hAnsi="Arial" w:cs="Arial"/>
            <w:sz w:val="24"/>
            <w:szCs w:val="24"/>
            <w:lang w:eastAsia="pl-PL"/>
          </w:rPr>
          <w:t xml:space="preserve">Javiera </w:t>
        </w:r>
        <w:proofErr w:type="spellStart"/>
        <w:r w:rsidRPr="00DD0965">
          <w:rPr>
            <w:rFonts w:ascii="Arial" w:eastAsia="Times New Roman" w:hAnsi="Arial" w:cs="Arial"/>
            <w:sz w:val="24"/>
            <w:szCs w:val="24"/>
            <w:lang w:eastAsia="pl-PL"/>
          </w:rPr>
          <w:t>Milei</w:t>
        </w:r>
        <w:proofErr w:type="spellEnd"/>
      </w:hyperlink>
      <w:r w:rsidRPr="00DD0965">
        <w:rPr>
          <w:rFonts w:ascii="Arial" w:eastAsia="Times New Roman" w:hAnsi="Arial" w:cs="Arial"/>
          <w:sz w:val="24"/>
          <w:szCs w:val="24"/>
          <w:lang w:eastAsia="pl-PL"/>
        </w:rPr>
        <w:t xml:space="preserve"> odmówiła dołączenia 29 grudnia 2023. </w:t>
      </w:r>
    </w:p>
    <w:p w:rsidR="00DD0965" w:rsidRP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sidRPr="00DD0965">
        <w:rPr>
          <w:rFonts w:ascii="Arial" w:eastAsia="Times New Roman" w:hAnsi="Arial" w:cs="Arial"/>
          <w:sz w:val="24"/>
          <w:szCs w:val="24"/>
          <w:lang w:eastAsia="pl-PL"/>
        </w:rPr>
        <w:t>1 stycznia 2024 do BRICS dołączyły Egipt, Etiopia, Iran i Zjednoczone Emiraty Arabskie. 6 stycznia 2025 r. do BRICS dołączyła Indonezja.</w:t>
      </w:r>
    </w:p>
    <w:p w:rsidR="00DD0965" w:rsidRP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sidRPr="00DD0965">
        <w:rPr>
          <w:rFonts w:ascii="Arial" w:eastAsia="Times New Roman" w:hAnsi="Arial" w:cs="Arial"/>
          <w:sz w:val="24"/>
          <w:szCs w:val="24"/>
          <w:lang w:eastAsia="pl-PL"/>
        </w:rPr>
        <w:t>Arabia Saudyjska nie dołączyła do BRICS na początku 2024 roku, jak planowano. Jednakże ogłoszono w połowie stycznia, że nadal rozważają możliwość przystąpienia do tego ugrupowania.</w:t>
      </w:r>
    </w:p>
    <w:p w:rsid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sidRPr="00DD0965">
        <w:rPr>
          <w:rFonts w:ascii="Arial" w:eastAsia="Times New Roman" w:hAnsi="Arial" w:cs="Arial"/>
          <w:sz w:val="24"/>
          <w:szCs w:val="24"/>
          <w:lang w:eastAsia="pl-PL"/>
        </w:rPr>
        <w:t>BRICS składa się z niejednorodnej grupy ekonomicznej o charakterystycznych cechach ekonomicznych</w:t>
      </w:r>
      <w:r>
        <w:rPr>
          <w:rFonts w:ascii="Arial" w:eastAsia="Times New Roman" w:hAnsi="Arial" w:cs="Arial"/>
          <w:sz w:val="24"/>
          <w:szCs w:val="24"/>
          <w:lang w:eastAsia="pl-PL"/>
        </w:rPr>
        <w:t>:</w:t>
      </w:r>
      <w:r w:rsidRPr="00DD0965">
        <w:rPr>
          <w:rFonts w:ascii="Arial" w:eastAsia="Times New Roman" w:hAnsi="Arial" w:cs="Arial"/>
          <w:sz w:val="24"/>
          <w:szCs w:val="24"/>
          <w:lang w:eastAsia="pl-PL"/>
        </w:rPr>
        <w:t xml:space="preserve"> </w:t>
      </w:r>
    </w:p>
    <w:p w:rsid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sidRPr="00DD0965">
        <w:rPr>
          <w:rFonts w:ascii="Arial" w:eastAsia="Times New Roman" w:hAnsi="Arial" w:cs="Arial"/>
          <w:sz w:val="24"/>
          <w:szCs w:val="24"/>
          <w:lang w:eastAsia="pl-PL"/>
        </w:rPr>
        <w:t xml:space="preserve">– Rosja jest gospodarką opartą w dużej mierze na surowcach, </w:t>
      </w:r>
    </w:p>
    <w:p w:rsid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DD0965">
        <w:rPr>
          <w:rFonts w:ascii="Arial" w:eastAsia="Times New Roman" w:hAnsi="Arial" w:cs="Arial"/>
          <w:sz w:val="24"/>
          <w:szCs w:val="24"/>
          <w:lang w:eastAsia="pl-PL"/>
        </w:rPr>
        <w:t xml:space="preserve">Chiny są gospodarką opartą na eksporcie (potocznie nazywane "fabryką świata"), </w:t>
      </w:r>
    </w:p>
    <w:p w:rsid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DD0965">
        <w:rPr>
          <w:rFonts w:ascii="Arial" w:eastAsia="Times New Roman" w:hAnsi="Arial" w:cs="Arial"/>
          <w:sz w:val="24"/>
          <w:szCs w:val="24"/>
          <w:lang w:eastAsia="pl-PL"/>
        </w:rPr>
        <w:t xml:space="preserve">Indie to krajowa gospodarka konsumencka, </w:t>
      </w:r>
    </w:p>
    <w:p w:rsid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DD0965">
        <w:rPr>
          <w:rFonts w:ascii="Arial" w:eastAsia="Times New Roman" w:hAnsi="Arial" w:cs="Arial"/>
          <w:sz w:val="24"/>
          <w:szCs w:val="24"/>
          <w:lang w:eastAsia="pl-PL"/>
        </w:rPr>
        <w:t xml:space="preserve">Brazylia ma bardzo rozwiniętą strukturę gospodarczą, </w:t>
      </w:r>
    </w:p>
    <w:p w:rsid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DD0965">
        <w:rPr>
          <w:rFonts w:ascii="Arial" w:eastAsia="Times New Roman" w:hAnsi="Arial" w:cs="Arial"/>
          <w:sz w:val="24"/>
          <w:szCs w:val="24"/>
          <w:lang w:eastAsia="pl-PL"/>
        </w:rPr>
        <w:t xml:space="preserve">Republika Południowej Afryki jest najszybciej rozwijającym się regionem Afryki. </w:t>
      </w:r>
    </w:p>
    <w:p w:rsidR="00DD0965" w:rsidRPr="00DD0965" w:rsidRDefault="00DD0965" w:rsidP="00DD0965">
      <w:pPr>
        <w:shd w:val="clear" w:color="auto" w:fill="FFFFFF"/>
        <w:spacing w:before="120" w:after="24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DD0965">
        <w:rPr>
          <w:rFonts w:ascii="Arial" w:eastAsia="Times New Roman" w:hAnsi="Arial" w:cs="Arial"/>
          <w:sz w:val="24"/>
          <w:szCs w:val="24"/>
          <w:lang w:eastAsia="pl-PL"/>
        </w:rPr>
        <w:t>raje BRICS nie tworzą sojuszu politycznego (jak np. </w:t>
      </w:r>
      <w:hyperlink r:id="rId18" w:tooltip="Unia Europejska" w:history="1">
        <w:r w:rsidRPr="00DD0965">
          <w:rPr>
            <w:rFonts w:ascii="Arial" w:eastAsia="Times New Roman" w:hAnsi="Arial" w:cs="Arial"/>
            <w:sz w:val="24"/>
            <w:szCs w:val="24"/>
            <w:lang w:eastAsia="pl-PL"/>
          </w:rPr>
          <w:t>Unia Europejska</w:t>
        </w:r>
      </w:hyperlink>
      <w:r w:rsidRPr="00DD0965">
        <w:rPr>
          <w:rFonts w:ascii="Arial" w:eastAsia="Times New Roman" w:hAnsi="Arial" w:cs="Arial"/>
          <w:sz w:val="24"/>
          <w:szCs w:val="24"/>
          <w:lang w:eastAsia="pl-PL"/>
        </w:rPr>
        <w:t xml:space="preserve">) ani formalnego stowarzyszenia handlu. </w:t>
      </w:r>
    </w:p>
    <w:p w:rsidR="00DD0965" w:rsidRDefault="00DD0965">
      <w:pPr>
        <w:rPr>
          <w:rFonts w:ascii="Arial" w:eastAsia="Times New Roman" w:hAnsi="Arial" w:cs="Arial"/>
          <w:color w:val="202122"/>
          <w:sz w:val="24"/>
          <w:szCs w:val="24"/>
          <w:lang w:eastAsia="pl-PL"/>
        </w:rPr>
      </w:pPr>
      <w:r>
        <w:rPr>
          <w:rFonts w:ascii="Arial" w:eastAsia="Times New Roman" w:hAnsi="Arial" w:cs="Arial"/>
          <w:color w:val="202122"/>
          <w:sz w:val="24"/>
          <w:szCs w:val="24"/>
          <w:lang w:eastAsia="pl-PL"/>
        </w:rPr>
        <w:br w:type="page"/>
      </w:r>
    </w:p>
    <w:p w:rsidR="00DD0965" w:rsidRPr="00DD0965" w:rsidRDefault="00DD0965" w:rsidP="00DD0965">
      <w:pPr>
        <w:shd w:val="clear" w:color="auto" w:fill="FFFFFF"/>
        <w:spacing w:before="120" w:after="240" w:line="240" w:lineRule="auto"/>
        <w:rPr>
          <w:rFonts w:ascii="Arial" w:eastAsia="Times New Roman" w:hAnsi="Arial" w:cs="Arial"/>
          <w:color w:val="202122"/>
          <w:sz w:val="24"/>
          <w:szCs w:val="24"/>
          <w:lang w:eastAsia="pl-PL"/>
        </w:rPr>
      </w:pPr>
      <w:r w:rsidRPr="00DD0965">
        <w:rPr>
          <w:rFonts w:ascii="Arial" w:eastAsia="Times New Roman" w:hAnsi="Arial" w:cs="Arial"/>
          <w:color w:val="202122"/>
          <w:sz w:val="24"/>
          <w:szCs w:val="24"/>
          <w:lang w:eastAsia="pl-PL"/>
        </w:rPr>
        <w:lastRenderedPageBreak/>
        <w:t>Cele krajów zrzeszonych to:</w:t>
      </w:r>
    </w:p>
    <w:p w:rsidR="00DD0965" w:rsidRPr="00DD0965" w:rsidRDefault="00DD0965" w:rsidP="00DD0965">
      <w:pPr>
        <w:numPr>
          <w:ilvl w:val="0"/>
          <w:numId w:val="1"/>
        </w:numPr>
        <w:shd w:val="clear" w:color="auto" w:fill="FFFFFF"/>
        <w:spacing w:before="100" w:beforeAutospacing="1" w:after="24" w:line="240" w:lineRule="auto"/>
        <w:ind w:left="768"/>
        <w:rPr>
          <w:rFonts w:ascii="Arial" w:eastAsia="Times New Roman" w:hAnsi="Arial" w:cs="Arial"/>
          <w:color w:val="202122"/>
          <w:sz w:val="24"/>
          <w:szCs w:val="24"/>
          <w:lang w:eastAsia="pl-PL"/>
        </w:rPr>
      </w:pPr>
      <w:r w:rsidRPr="00DD0965">
        <w:rPr>
          <w:rFonts w:ascii="Arial" w:eastAsia="Times New Roman" w:hAnsi="Arial" w:cs="Arial"/>
          <w:color w:val="202122"/>
          <w:sz w:val="24"/>
          <w:szCs w:val="24"/>
          <w:lang w:eastAsia="pl-PL"/>
        </w:rPr>
        <w:t>Stworzenie nowego systemu walutowego.</w:t>
      </w:r>
    </w:p>
    <w:p w:rsidR="00DD0965" w:rsidRPr="00DD0965" w:rsidRDefault="00DD0965" w:rsidP="00DD0965">
      <w:pPr>
        <w:numPr>
          <w:ilvl w:val="0"/>
          <w:numId w:val="1"/>
        </w:numPr>
        <w:shd w:val="clear" w:color="auto" w:fill="FFFFFF"/>
        <w:spacing w:before="100" w:beforeAutospacing="1" w:after="24" w:line="240" w:lineRule="auto"/>
        <w:ind w:left="768"/>
        <w:rPr>
          <w:rFonts w:ascii="Arial" w:eastAsia="Times New Roman" w:hAnsi="Arial" w:cs="Arial"/>
          <w:color w:val="202122"/>
          <w:sz w:val="24"/>
          <w:szCs w:val="24"/>
          <w:lang w:eastAsia="pl-PL"/>
        </w:rPr>
      </w:pPr>
      <w:r w:rsidRPr="00DD0965">
        <w:rPr>
          <w:rFonts w:ascii="Arial" w:eastAsia="Times New Roman" w:hAnsi="Arial" w:cs="Arial"/>
          <w:color w:val="202122"/>
          <w:sz w:val="24"/>
          <w:szCs w:val="24"/>
          <w:lang w:eastAsia="pl-PL"/>
        </w:rPr>
        <w:t>Zwiększenie roli państw rozwijających się w światowych instytucjach walutowych.</w:t>
      </w:r>
    </w:p>
    <w:p w:rsidR="00DD0965" w:rsidRPr="00DD0965" w:rsidRDefault="00DD0965" w:rsidP="00DD0965">
      <w:pPr>
        <w:numPr>
          <w:ilvl w:val="0"/>
          <w:numId w:val="1"/>
        </w:numPr>
        <w:shd w:val="clear" w:color="auto" w:fill="FFFFFF"/>
        <w:spacing w:before="100" w:beforeAutospacing="1" w:after="24" w:line="240" w:lineRule="auto"/>
        <w:ind w:left="768"/>
        <w:rPr>
          <w:rFonts w:ascii="Arial" w:eastAsia="Times New Roman" w:hAnsi="Arial" w:cs="Arial"/>
          <w:color w:val="202122"/>
          <w:sz w:val="24"/>
          <w:szCs w:val="24"/>
          <w:lang w:eastAsia="pl-PL"/>
        </w:rPr>
      </w:pPr>
      <w:r w:rsidRPr="00DD0965">
        <w:rPr>
          <w:rFonts w:ascii="Arial" w:eastAsia="Times New Roman" w:hAnsi="Arial" w:cs="Arial"/>
          <w:color w:val="202122"/>
          <w:sz w:val="24"/>
          <w:szCs w:val="24"/>
          <w:lang w:eastAsia="pl-PL"/>
        </w:rPr>
        <w:t>Zreformowanie </w:t>
      </w:r>
      <w:hyperlink r:id="rId19" w:tooltip="Organizacja Narodów Zjednoczonych" w:history="1">
        <w:r w:rsidRPr="00DD0965">
          <w:rPr>
            <w:rFonts w:ascii="Arial" w:eastAsia="Times New Roman" w:hAnsi="Arial" w:cs="Arial"/>
            <w:color w:val="0000FF"/>
            <w:sz w:val="24"/>
            <w:szCs w:val="24"/>
            <w:lang w:eastAsia="pl-PL"/>
          </w:rPr>
          <w:t>ONZ</w:t>
        </w:r>
      </w:hyperlink>
      <w:r w:rsidRPr="00DD0965">
        <w:rPr>
          <w:rFonts w:ascii="Arial" w:eastAsia="Times New Roman" w:hAnsi="Arial" w:cs="Arial"/>
          <w:color w:val="202122"/>
          <w:sz w:val="24"/>
          <w:szCs w:val="24"/>
          <w:lang w:eastAsia="pl-PL"/>
        </w:rPr>
        <w:t>.</w:t>
      </w:r>
    </w:p>
    <w:p w:rsidR="00DD0965" w:rsidRPr="00DD0965" w:rsidRDefault="00DD0965" w:rsidP="00DD0965">
      <w:pPr>
        <w:shd w:val="clear" w:color="auto" w:fill="FFFFFF"/>
        <w:spacing w:before="120" w:after="240" w:line="240" w:lineRule="auto"/>
        <w:rPr>
          <w:rFonts w:ascii="Arial" w:eastAsia="Times New Roman" w:hAnsi="Arial" w:cs="Arial"/>
          <w:color w:val="202122"/>
          <w:sz w:val="24"/>
          <w:szCs w:val="24"/>
          <w:lang w:eastAsia="pl-PL"/>
        </w:rPr>
      </w:pPr>
      <w:r w:rsidRPr="00DD0965">
        <w:rPr>
          <w:rFonts w:ascii="Arial" w:eastAsia="Times New Roman" w:hAnsi="Arial" w:cs="Arial"/>
          <w:color w:val="202122"/>
          <w:sz w:val="24"/>
          <w:szCs w:val="24"/>
          <w:lang w:eastAsia="pl-PL"/>
        </w:rPr>
        <w:t>Spotkania państw w ramach forum BRICS:</w:t>
      </w:r>
    </w:p>
    <w:p w:rsidR="00DD0965" w:rsidRDefault="00DD0965" w:rsidP="00DD0965">
      <w:pPr>
        <w:spacing w:after="0" w:line="240" w:lineRule="auto"/>
        <w:rPr>
          <w:rFonts w:ascii="Times New Roman" w:eastAsia="Times New Roman" w:hAnsi="Times New Roman" w:cs="Times New Roman"/>
          <w:sz w:val="24"/>
          <w:szCs w:val="24"/>
          <w:lang w:eastAsia="pl-PL"/>
        </w:rPr>
      </w:pPr>
      <w:r w:rsidRPr="00DD0965">
        <w:rPr>
          <w:rFonts w:ascii="Times New Roman" w:eastAsia="Times New Roman" w:hAnsi="Times New Roman" w:cs="Times New Roman"/>
          <w:noProof/>
          <w:color w:val="0000FF"/>
          <w:sz w:val="24"/>
          <w:szCs w:val="24"/>
          <w:bdr w:val="none" w:sz="0" w:space="0" w:color="auto" w:frame="1"/>
          <w:lang w:eastAsia="pl-PL"/>
        </w:rPr>
        <w:drawing>
          <wp:inline distT="0" distB="0" distL="0" distR="0">
            <wp:extent cx="4755600" cy="2080800"/>
            <wp:effectExtent l="0" t="0" r="6985" b="0"/>
            <wp:docPr id="18" name="Obraz 18" descr="https://upload.wikimedia.org/wikipedia/commons/thumb/6/61/GDP_BRICS_G7.svg/250px-GDP_BRICS_G7.svg.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1/GDP_BRICS_G7.svg/250px-GDP_BRICS_G7.svg.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5600" cy="2080800"/>
                    </a:xfrm>
                    <a:prstGeom prst="rect">
                      <a:avLst/>
                    </a:prstGeom>
                    <a:noFill/>
                    <a:ln>
                      <a:noFill/>
                    </a:ln>
                  </pic:spPr>
                </pic:pic>
              </a:graphicData>
            </a:graphic>
          </wp:inline>
        </w:drawing>
      </w:r>
    </w:p>
    <w:p w:rsidR="00B70ACB" w:rsidRDefault="00B70AC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B70ACB" w:rsidRDefault="00B70ACB" w:rsidP="00B70ACB">
      <w:pPr>
        <w:rPr>
          <w:rFonts w:ascii="Times New Roman" w:hAnsi="Times New Roman" w:cs="Times New Roman"/>
        </w:rPr>
      </w:pPr>
      <w:r>
        <w:rPr>
          <w:noProof/>
          <w:color w:val="0000FF"/>
          <w:bdr w:val="none" w:sz="0" w:space="0" w:color="auto" w:frame="1"/>
          <w:lang w:eastAsia="pl-PL"/>
        </w:rPr>
        <w:lastRenderedPageBreak/>
        <w:drawing>
          <wp:inline distT="0" distB="0" distL="0" distR="0">
            <wp:extent cx="6364690" cy="3876675"/>
            <wp:effectExtent l="0" t="0" r="0" b="0"/>
            <wp:docPr id="21" name="Obraz 21" descr="https://upload.wikimedia.org/wikipedia/commons/thumb/d/da/BRIC2010.jpg/250px-BRIC201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d/da/BRIC2010.jpg/250px-BRIC2010.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16164" cy="3908027"/>
                    </a:xfrm>
                    <a:prstGeom prst="rect">
                      <a:avLst/>
                    </a:prstGeom>
                    <a:noFill/>
                    <a:ln>
                      <a:noFill/>
                    </a:ln>
                  </pic:spPr>
                </pic:pic>
              </a:graphicData>
            </a:graphic>
          </wp:inline>
        </w:drawing>
      </w:r>
      <w:r>
        <w:t>Przywódcy BRIC w 2010 r.</w:t>
      </w:r>
    </w:p>
    <w:p w:rsidR="00B70ACB" w:rsidRPr="00B70ACB" w:rsidRDefault="00B70ACB" w:rsidP="00B70ACB">
      <w:pPr>
        <w:pStyle w:val="NormalnyWeb"/>
        <w:shd w:val="clear" w:color="auto" w:fill="FFFFFF"/>
        <w:spacing w:before="120" w:beforeAutospacing="0" w:after="240" w:afterAutospacing="0" w:line="360" w:lineRule="auto"/>
        <w:jc w:val="both"/>
        <w:rPr>
          <w:rFonts w:ascii="Arial" w:hAnsi="Arial" w:cs="Arial"/>
        </w:rPr>
      </w:pPr>
      <w:r w:rsidRPr="00B70ACB">
        <w:rPr>
          <w:rFonts w:ascii="Arial" w:hAnsi="Arial" w:cs="Arial"/>
        </w:rPr>
        <w:t xml:space="preserve">Różne źródła odnoszą się do rzekomego „oryginalnego” porozumienia BRIC, które poprzedza tezę Goldman </w:t>
      </w:r>
      <w:proofErr w:type="spellStart"/>
      <w:r w:rsidRPr="00B70ACB">
        <w:rPr>
          <w:rFonts w:ascii="Arial" w:hAnsi="Arial" w:cs="Arial"/>
        </w:rPr>
        <w:t>Sachs</w:t>
      </w:r>
      <w:proofErr w:type="spellEnd"/>
      <w:r w:rsidRPr="00B70ACB">
        <w:rPr>
          <w:rFonts w:ascii="Arial" w:hAnsi="Arial" w:cs="Arial"/>
        </w:rPr>
        <w:t>. Niektóre z tych źródeł twierdzą, że prezydent Rosji </w:t>
      </w:r>
      <w:hyperlink r:id="rId24" w:tooltip="Władimir Putin" w:history="1">
        <w:r w:rsidRPr="00B70ACB">
          <w:rPr>
            <w:rStyle w:val="Hipercze"/>
            <w:rFonts w:ascii="Arial" w:hAnsi="Arial" w:cs="Arial"/>
            <w:color w:val="auto"/>
            <w:u w:val="none"/>
          </w:rPr>
          <w:t>Władimir Putin</w:t>
        </w:r>
      </w:hyperlink>
      <w:r w:rsidRPr="00B70ACB">
        <w:rPr>
          <w:rFonts w:ascii="Arial" w:hAnsi="Arial" w:cs="Arial"/>
        </w:rPr>
        <w:t xml:space="preserve"> był siłą napędową tej oryginalnej koalicji kooperacyjnej rozwijających się krajów BRIC. Jednak do tej pory nie opublikowano żadnego tekstu formalnego porozumienia, którego sygnatariuszami są wszystkie cztery państwa BRIC. Nie oznacza to jednak, że nie osiągnęli oni wielu dwustronnych, a nawet </w:t>
      </w:r>
      <w:proofErr w:type="spellStart"/>
      <w:r w:rsidRPr="00B70ACB">
        <w:rPr>
          <w:rFonts w:ascii="Arial" w:hAnsi="Arial" w:cs="Arial"/>
        </w:rPr>
        <w:t>czworostronnych</w:t>
      </w:r>
      <w:proofErr w:type="spellEnd"/>
      <w:r w:rsidRPr="00B70ACB">
        <w:rPr>
          <w:rFonts w:ascii="Arial" w:hAnsi="Arial" w:cs="Arial"/>
        </w:rPr>
        <w:t xml:space="preserve"> porozumień. Dowody na porozumienia tego typu są liczne i są dostępne na stronach internetowych ministerstw spraw zagranicznych każdego z czterech krajów. </w:t>
      </w:r>
      <w:r w:rsidRPr="00B70ACB">
        <w:rPr>
          <w:rFonts w:ascii="Arial" w:hAnsi="Arial" w:cs="Arial"/>
          <w:sz w:val="19"/>
          <w:szCs w:val="19"/>
          <w:vertAlign w:val="superscript"/>
        </w:rPr>
        <w:t>[ </w:t>
      </w:r>
      <w:hyperlink r:id="rId25" w:anchor="Stay_on_topic" w:tooltip="Wikipedia:Pisanie lepszych artykułów" w:history="1">
        <w:r w:rsidRPr="00B70ACB">
          <w:rPr>
            <w:rStyle w:val="Hipercze"/>
            <w:rFonts w:ascii="Arial" w:hAnsi="Arial" w:cs="Arial"/>
            <w:i/>
            <w:iCs/>
            <w:color w:val="auto"/>
            <w:sz w:val="19"/>
            <w:szCs w:val="19"/>
            <w:u w:val="none"/>
            <w:vertAlign w:val="superscript"/>
          </w:rPr>
          <w:t>istotne?</w:t>
        </w:r>
      </w:hyperlink>
      <w:r w:rsidRPr="00B70ACB">
        <w:rPr>
          <w:rFonts w:ascii="Arial" w:hAnsi="Arial" w:cs="Arial"/>
          <w:sz w:val="19"/>
          <w:szCs w:val="19"/>
          <w:vertAlign w:val="superscript"/>
        </w:rPr>
        <w:t> ]</w:t>
      </w:r>
      <w:r w:rsidRPr="00B70ACB">
        <w:rPr>
          <w:rFonts w:ascii="Arial" w:hAnsi="Arial" w:cs="Arial"/>
        </w:rPr>
        <w:t> Trójstronne porozumienia i ramy zawarte między państwami BRIC obejmują </w:t>
      </w:r>
      <w:hyperlink r:id="rId26" w:tooltip="Szanghajska Organizacja Współpracy" w:history="1">
        <w:r w:rsidRPr="00B70ACB">
          <w:rPr>
            <w:rStyle w:val="Hipercze"/>
            <w:rFonts w:ascii="Arial" w:hAnsi="Arial" w:cs="Arial"/>
            <w:color w:val="auto"/>
            <w:u w:val="none"/>
          </w:rPr>
          <w:t>Szanghajską Organizację Współpracy</w:t>
        </w:r>
      </w:hyperlink>
      <w:r w:rsidRPr="00B70ACB">
        <w:rPr>
          <w:rFonts w:ascii="Arial" w:hAnsi="Arial" w:cs="Arial"/>
        </w:rPr>
        <w:t> (państwa członkowskie to Rosja i Chiny, obserwatorzy to Indie) oraz </w:t>
      </w:r>
      <w:hyperlink r:id="rId27" w:tooltip="Forum Dialogowe IBSA" w:history="1">
        <w:r w:rsidRPr="00B70ACB">
          <w:rPr>
            <w:rStyle w:val="Hipercze"/>
            <w:rFonts w:ascii="Arial" w:hAnsi="Arial" w:cs="Arial"/>
            <w:color w:val="auto"/>
            <w:u w:val="none"/>
          </w:rPr>
          <w:t>Trójstronne Forum IBSA</w:t>
        </w:r>
      </w:hyperlink>
      <w:r w:rsidRPr="00B70ACB">
        <w:rPr>
          <w:rFonts w:ascii="Arial" w:hAnsi="Arial" w:cs="Arial"/>
        </w:rPr>
        <w:t> , które jednoczy Brazylię, Indie i </w:t>
      </w:r>
      <w:hyperlink r:id="rId28" w:tooltip="Republika Południowej Afryki" w:history="1">
        <w:r w:rsidRPr="00B70ACB">
          <w:rPr>
            <w:rStyle w:val="Hipercze"/>
            <w:rFonts w:ascii="Arial" w:hAnsi="Arial" w:cs="Arial"/>
            <w:color w:val="auto"/>
            <w:u w:val="none"/>
          </w:rPr>
          <w:t>Południową Afrykę</w:t>
        </w:r>
      </w:hyperlink>
      <w:r w:rsidRPr="00B70ACB">
        <w:rPr>
          <w:rFonts w:ascii="Arial" w:hAnsi="Arial" w:cs="Arial"/>
        </w:rPr>
        <w:t> w corocznych dialogach. Strategiczny trójkąt Rosja-Indie-Chiny (RIC) został przewidziany przez rosyjskiego premiera </w:t>
      </w:r>
      <w:hyperlink r:id="rId29" w:tooltip="Jewgienij Primakow" w:history="1">
        <w:r w:rsidRPr="00B70ACB">
          <w:rPr>
            <w:rStyle w:val="Hipercze"/>
            <w:rFonts w:ascii="Arial" w:hAnsi="Arial" w:cs="Arial"/>
            <w:color w:val="auto"/>
            <w:u w:val="none"/>
          </w:rPr>
          <w:t>Jewgienija Primakowa</w:t>
        </w:r>
      </w:hyperlink>
      <w:r w:rsidRPr="00B70ACB">
        <w:rPr>
          <w:rFonts w:ascii="Arial" w:hAnsi="Arial" w:cs="Arial"/>
        </w:rPr>
        <w:t> w latach 90. Forum państw rozwijających się </w:t>
      </w:r>
      <w:hyperlink r:id="rId30" w:tooltip="G20" w:history="1">
        <w:r w:rsidRPr="00B70ACB">
          <w:rPr>
            <w:rStyle w:val="Hipercze"/>
            <w:rFonts w:ascii="Arial" w:hAnsi="Arial" w:cs="Arial"/>
            <w:color w:val="auto"/>
            <w:u w:val="none"/>
          </w:rPr>
          <w:t>G20 skupia wszystkie kraje BRIC.</w:t>
        </w:r>
      </w:hyperlink>
    </w:p>
    <w:p w:rsidR="00012E60" w:rsidRDefault="00012E60">
      <w:pPr>
        <w:rPr>
          <w:rFonts w:ascii="Arial" w:eastAsia="Times New Roman" w:hAnsi="Arial" w:cs="Arial"/>
          <w:sz w:val="24"/>
          <w:szCs w:val="24"/>
          <w:lang w:eastAsia="pl-PL"/>
        </w:rPr>
      </w:pPr>
      <w:r>
        <w:rPr>
          <w:rFonts w:ascii="Arial" w:hAnsi="Arial" w:cs="Arial"/>
        </w:rPr>
        <w:br w:type="page"/>
      </w:r>
    </w:p>
    <w:p w:rsidR="00B70ACB" w:rsidRPr="00B70ACB" w:rsidRDefault="00B70ACB" w:rsidP="00B70ACB">
      <w:pPr>
        <w:pStyle w:val="NormalnyWeb"/>
        <w:shd w:val="clear" w:color="auto" w:fill="FFFFFF"/>
        <w:spacing w:before="120" w:beforeAutospacing="0" w:after="240" w:afterAutospacing="0" w:line="360" w:lineRule="auto"/>
        <w:jc w:val="both"/>
        <w:rPr>
          <w:rFonts w:ascii="Arial" w:hAnsi="Arial" w:cs="Arial"/>
        </w:rPr>
      </w:pPr>
      <w:r w:rsidRPr="00B70ACB">
        <w:rPr>
          <w:rFonts w:ascii="Arial" w:hAnsi="Arial" w:cs="Arial"/>
        </w:rPr>
        <w:lastRenderedPageBreak/>
        <w:t>Republika Południowej Afryki starała się o członkostwo w BRIC od 2009 r., a formalny proces przyjęcia rozpoczął się już w sierpniu 2010 r. Republika Południowej Afryki została oficjalnie przyjęta jako kraj BRIC 24 grudnia 2010 r., po zaproszeniu przez Chiny i inne kraje BRIC do przyłączenia się do grupy. Wielka litera „S” w BRICS oznacza Republikę Południowej Afryki. Prezydent </w:t>
      </w:r>
      <w:hyperlink r:id="rId31" w:tooltip="Jakub Zuma" w:history="1">
        <w:r w:rsidRPr="00B70ACB">
          <w:rPr>
            <w:rStyle w:val="Hipercze"/>
            <w:rFonts w:ascii="Arial" w:hAnsi="Arial" w:cs="Arial"/>
            <w:color w:val="auto"/>
            <w:u w:val="none"/>
          </w:rPr>
          <w:t xml:space="preserve">Jacob </w:t>
        </w:r>
        <w:proofErr w:type="spellStart"/>
        <w:r w:rsidRPr="00B70ACB">
          <w:rPr>
            <w:rStyle w:val="Hipercze"/>
            <w:rFonts w:ascii="Arial" w:hAnsi="Arial" w:cs="Arial"/>
            <w:color w:val="auto"/>
            <w:u w:val="none"/>
          </w:rPr>
          <w:t>Zuma</w:t>
        </w:r>
        <w:proofErr w:type="spellEnd"/>
      </w:hyperlink>
      <w:r w:rsidRPr="00B70ACB">
        <w:rPr>
          <w:rFonts w:ascii="Arial" w:hAnsi="Arial" w:cs="Arial"/>
        </w:rPr>
        <w:t> uczestniczył w szczycie BRICS w </w:t>
      </w:r>
      <w:proofErr w:type="spellStart"/>
      <w:r w:rsidRPr="00B70ACB">
        <w:rPr>
          <w:rFonts w:ascii="Arial" w:hAnsi="Arial" w:cs="Arial"/>
        </w:rPr>
        <w:fldChar w:fldCharType="begin"/>
      </w:r>
      <w:r w:rsidRPr="00B70ACB">
        <w:rPr>
          <w:rFonts w:ascii="Arial" w:hAnsi="Arial" w:cs="Arial"/>
        </w:rPr>
        <w:instrText xml:space="preserve"> HYPERLINK "https://en.wikipedia.org/wiki/Sanya" \o "Sanya" </w:instrText>
      </w:r>
      <w:r w:rsidRPr="00B70ACB">
        <w:rPr>
          <w:rFonts w:ascii="Arial" w:hAnsi="Arial" w:cs="Arial"/>
        </w:rPr>
        <w:fldChar w:fldCharType="separate"/>
      </w:r>
      <w:r w:rsidRPr="00B70ACB">
        <w:rPr>
          <w:rStyle w:val="Hipercze"/>
          <w:rFonts w:ascii="Arial" w:hAnsi="Arial" w:cs="Arial"/>
          <w:color w:val="auto"/>
          <w:u w:val="none"/>
        </w:rPr>
        <w:t>Sanya</w:t>
      </w:r>
      <w:proofErr w:type="spellEnd"/>
      <w:r w:rsidRPr="00B70ACB">
        <w:rPr>
          <w:rFonts w:ascii="Arial" w:hAnsi="Arial" w:cs="Arial"/>
        </w:rPr>
        <w:fldChar w:fldCharType="end"/>
      </w:r>
      <w:r w:rsidRPr="00B70ACB">
        <w:rPr>
          <w:rFonts w:ascii="Arial" w:hAnsi="Arial" w:cs="Arial"/>
        </w:rPr>
        <w:t> w kwietniu 2011 r. jako pełnoprawny członek. Republika Południowej Afryki zajmuje wyjątkową pozycję, która może wpływać na afrykański wzrost gospodarczy i inwestycje. Według </w:t>
      </w:r>
      <w:hyperlink r:id="rId32" w:tooltip="Jim O'Neill, Baron O'Neill z Gatley" w:history="1">
        <w:r w:rsidRPr="00B70ACB">
          <w:rPr>
            <w:rStyle w:val="Hipercze"/>
            <w:rFonts w:ascii="Arial" w:hAnsi="Arial" w:cs="Arial"/>
            <w:color w:val="auto"/>
            <w:u w:val="none"/>
          </w:rPr>
          <w:t>Jima O'Neilla</w:t>
        </w:r>
      </w:hyperlink>
      <w:r w:rsidRPr="00B70ACB">
        <w:rPr>
          <w:rFonts w:ascii="Arial" w:hAnsi="Arial" w:cs="Arial"/>
        </w:rPr>
        <w:t xml:space="preserve"> z Goldman </w:t>
      </w:r>
      <w:proofErr w:type="spellStart"/>
      <w:r w:rsidRPr="00B70ACB">
        <w:rPr>
          <w:rFonts w:ascii="Arial" w:hAnsi="Arial" w:cs="Arial"/>
        </w:rPr>
        <w:t>Sachs</w:t>
      </w:r>
      <w:proofErr w:type="spellEnd"/>
      <w:r w:rsidRPr="00B70ACB">
        <w:rPr>
          <w:rFonts w:ascii="Arial" w:hAnsi="Arial" w:cs="Arial"/>
        </w:rPr>
        <w:t>, który pierwotnie ukuł ten termin, łączny obecny produkt krajowy brutto Afryki jest w miarę podobny do Brazylii i Rosji, a nieznacznie wyższy od Indii. Republika Południowej Afryki jest „bramą” do </w:t>
      </w:r>
      <w:hyperlink r:id="rId33" w:tooltip="Afryka Południowa" w:history="1">
        <w:r w:rsidRPr="00B70ACB">
          <w:rPr>
            <w:rStyle w:val="Hipercze"/>
            <w:rFonts w:ascii="Arial" w:hAnsi="Arial" w:cs="Arial"/>
            <w:color w:val="auto"/>
            <w:u w:val="none"/>
          </w:rPr>
          <w:t>Afryki Południowej</w:t>
        </w:r>
      </w:hyperlink>
      <w:r w:rsidRPr="00B70ACB">
        <w:rPr>
          <w:rFonts w:ascii="Arial" w:hAnsi="Arial" w:cs="Arial"/>
        </w:rPr>
        <w:t> i Afryki w ogóle jako najbardziej rozwinięty kraj afrykański. </w:t>
      </w:r>
      <w:hyperlink r:id="rId34" w:tooltip="Relacje Chiny–RPA" w:history="1">
        <w:r w:rsidRPr="00B70ACB">
          <w:rPr>
            <w:rStyle w:val="Hipercze"/>
            <w:rFonts w:ascii="Arial" w:hAnsi="Arial" w:cs="Arial"/>
            <w:color w:val="auto"/>
            <w:u w:val="none"/>
          </w:rPr>
          <w:t>Chiny są największym partnerem handlowym Republiki Południowej Afryki</w:t>
        </w:r>
      </w:hyperlink>
      <w:r w:rsidRPr="00B70ACB">
        <w:rPr>
          <w:rFonts w:ascii="Arial" w:hAnsi="Arial" w:cs="Arial"/>
        </w:rPr>
        <w:t> , a Indie chcą </w:t>
      </w:r>
      <w:hyperlink r:id="rId35" w:tooltip="Relacje Afryka–Indie" w:history="1">
        <w:r w:rsidRPr="00B70ACB">
          <w:rPr>
            <w:rStyle w:val="Hipercze"/>
            <w:rFonts w:ascii="Arial" w:hAnsi="Arial" w:cs="Arial"/>
            <w:color w:val="auto"/>
            <w:u w:val="none"/>
          </w:rPr>
          <w:t>zwiększyć więzi handlowe</w:t>
        </w:r>
      </w:hyperlink>
      <w:r w:rsidRPr="00B70ACB">
        <w:rPr>
          <w:rFonts w:ascii="Arial" w:hAnsi="Arial" w:cs="Arial"/>
        </w:rPr>
        <w:t xml:space="preserve"> z Afryką. Republika Południowej Afryki jest również największą gospodarką Afryki, jednak jako 31. kraj pod względem PKB na świecie pozostaje daleko w tyle za swoimi nowymi partnerami.  </w:t>
      </w:r>
    </w:p>
    <w:p w:rsidR="00B70ACB" w:rsidRPr="00B70ACB" w:rsidRDefault="00B70ACB" w:rsidP="00B70ACB">
      <w:pPr>
        <w:pStyle w:val="NormalnyWeb"/>
        <w:shd w:val="clear" w:color="auto" w:fill="FFFFFF"/>
        <w:spacing w:before="120" w:beforeAutospacing="0" w:after="240" w:afterAutospacing="0" w:line="360" w:lineRule="auto"/>
        <w:jc w:val="both"/>
        <w:rPr>
          <w:rFonts w:ascii="Arial" w:hAnsi="Arial" w:cs="Arial"/>
        </w:rPr>
      </w:pPr>
      <w:hyperlink r:id="rId36" w:tooltip="Jim O'Neill, Baron O'Neill z Gatley" w:history="1">
        <w:r>
          <w:rPr>
            <w:rStyle w:val="Hipercze"/>
            <w:rFonts w:ascii="Arial" w:hAnsi="Arial" w:cs="Arial"/>
          </w:rPr>
          <w:t>Jim O'Neill</w:t>
        </w:r>
      </w:hyperlink>
      <w:r>
        <w:rPr>
          <w:rFonts w:ascii="Arial" w:hAnsi="Arial" w:cs="Arial"/>
          <w:color w:val="202122"/>
        </w:rPr>
        <w:t xml:space="preserve"> wyraził zdziwienie, gdy Republika Południowej Afryki dołączyła do BRIC, ponieważ gospodarka Republiki Południowej Afryki stanowi jedną czwartą wielkości gospodarki Rosji (najmniej potężnego gospodarczo państwa BRIC). Uważał, że potencjał istnieje, ale nie przewidywał włączenia Republiki Południowej Afryki na tym etapie. Martyn Davies, ekspert ds. rynków wschodzących Republiki Południowej Afryki, argumentował, że decyzja o zaproszeniu Republiki Południowej Afryki nie miała większego sensu komercyjnego, ale była politycznie sprytna, biorąc pod uwagę próby Chin, aby uzyskać przyczółek w Afryce. Ponadto włączenie Republiki Południowej Afryki do BRICS może przełożyć się na większe poparcie Republiki Południowej Afryki </w:t>
      </w:r>
      <w:r w:rsidRPr="00B70ACB">
        <w:rPr>
          <w:rFonts w:ascii="Arial" w:hAnsi="Arial" w:cs="Arial"/>
        </w:rPr>
        <w:t>dla Chin na forach globalnych. Jest głęboko przekonany, że „S” w „BRICS” może zostać ostatecznie zastąpione przez </w:t>
      </w:r>
      <w:hyperlink r:id="rId37" w:tooltip="Wspólnota Rozwoju Afryki Południowej" w:history="1">
        <w:r w:rsidRPr="00B70ACB">
          <w:rPr>
            <w:rStyle w:val="Hipercze"/>
            <w:rFonts w:ascii="Arial" w:hAnsi="Arial" w:cs="Arial"/>
            <w:color w:val="auto"/>
            <w:u w:val="none"/>
          </w:rPr>
          <w:t>SADC</w:t>
        </w:r>
      </w:hyperlink>
      <w:r w:rsidRPr="00B70ACB">
        <w:rPr>
          <w:rFonts w:ascii="Arial" w:hAnsi="Arial" w:cs="Arial"/>
        </w:rPr>
        <w:t> .</w:t>
      </w:r>
    </w:p>
    <w:p w:rsidR="00DD0965" w:rsidRPr="00DD0965" w:rsidRDefault="00B70ACB" w:rsidP="00B70ACB">
      <w:pPr>
        <w:pStyle w:val="NormalnyWeb"/>
        <w:shd w:val="clear" w:color="auto" w:fill="FFFFFF"/>
        <w:spacing w:before="120" w:beforeAutospacing="0" w:after="240" w:afterAutospacing="0" w:line="360" w:lineRule="auto"/>
        <w:jc w:val="both"/>
        <w:rPr>
          <w:rFonts w:ascii="Arial" w:hAnsi="Arial" w:cs="Arial"/>
          <w:shd w:val="clear" w:color="auto" w:fill="FFFFFF"/>
        </w:rPr>
      </w:pPr>
      <w:r w:rsidRPr="00B70ACB">
        <w:rPr>
          <w:rFonts w:ascii="Arial" w:hAnsi="Arial" w:cs="Arial"/>
        </w:rPr>
        <w:t xml:space="preserve">Afrykańskie referencje są ważne geopolitycznie, dając BRICS </w:t>
      </w:r>
      <w:proofErr w:type="spellStart"/>
      <w:r w:rsidRPr="00B70ACB">
        <w:rPr>
          <w:rFonts w:ascii="Arial" w:hAnsi="Arial" w:cs="Arial"/>
        </w:rPr>
        <w:t>czterokontynentalną</w:t>
      </w:r>
      <w:proofErr w:type="spellEnd"/>
      <w:r w:rsidRPr="00B70ACB">
        <w:rPr>
          <w:rFonts w:ascii="Arial" w:hAnsi="Arial" w:cs="Arial"/>
        </w:rPr>
        <w:t xml:space="preserve"> szerokość, wpływy i możliwości handlowe. Dołączenie RPA jest zręcznym posunięciem politycznym, które jeszcze bardziej wzmacnia siłę i status BRICS. W oryginalnym eseju, w którym ukuto ten termin, Goldman </w:t>
      </w:r>
      <w:proofErr w:type="spellStart"/>
      <w:r w:rsidRPr="00B70ACB">
        <w:rPr>
          <w:rFonts w:ascii="Arial" w:hAnsi="Arial" w:cs="Arial"/>
        </w:rPr>
        <w:t>Sachs</w:t>
      </w:r>
      <w:proofErr w:type="spellEnd"/>
      <w:r w:rsidRPr="00B70ACB">
        <w:rPr>
          <w:rFonts w:ascii="Arial" w:hAnsi="Arial" w:cs="Arial"/>
        </w:rPr>
        <w:t xml:space="preserve"> nie twierdził, że BRICS zorganizują się w blok ekonomiczny lub formalne stowarzyszenie handlowe, co ten ruch oznacza. </w:t>
      </w:r>
      <w:r w:rsidR="00DD0965">
        <w:br w:type="page"/>
      </w:r>
    </w:p>
    <w:p w:rsidR="00DD0965" w:rsidRPr="00DD0965" w:rsidRDefault="00DD0965" w:rsidP="00DD0965">
      <w:pPr>
        <w:pStyle w:val="Nagwek3"/>
        <w:shd w:val="clear" w:color="auto" w:fill="FFFFFF"/>
        <w:spacing w:before="0" w:after="60"/>
        <w:jc w:val="both"/>
        <w:rPr>
          <w:rFonts w:ascii="Arial" w:hAnsi="Arial" w:cs="Arial"/>
          <w:b/>
          <w:color w:val="auto"/>
        </w:rPr>
      </w:pPr>
      <w:r w:rsidRPr="00DD0965">
        <w:rPr>
          <w:rFonts w:ascii="Arial" w:hAnsi="Arial" w:cs="Arial"/>
          <w:b/>
          <w:color w:val="auto"/>
        </w:rPr>
        <w:lastRenderedPageBreak/>
        <w:t>Praca magisterska O'Neilla (2001)</w:t>
      </w:r>
    </w:p>
    <w:p w:rsidR="00DD0965" w:rsidRDefault="00DD0965" w:rsidP="00DD0965">
      <w:pPr>
        <w:pStyle w:val="NormalnyWeb"/>
        <w:shd w:val="clear" w:color="auto" w:fill="FFFFFF"/>
        <w:spacing w:before="120" w:beforeAutospacing="0" w:after="240" w:afterAutospacing="0" w:line="360" w:lineRule="auto"/>
        <w:jc w:val="both"/>
        <w:rPr>
          <w:rFonts w:ascii="Arial" w:hAnsi="Arial" w:cs="Arial"/>
        </w:rPr>
      </w:pPr>
      <w:r w:rsidRPr="00DD0965">
        <w:rPr>
          <w:rFonts w:ascii="Arial" w:hAnsi="Arial" w:cs="Arial"/>
        </w:rPr>
        <w:t>W 2001 roku </w:t>
      </w:r>
      <w:hyperlink r:id="rId38" w:tooltip="Jim O'Neill, Baron O'Neill z Gatley" w:history="1">
        <w:r w:rsidRPr="00DD0965">
          <w:rPr>
            <w:rStyle w:val="Hipercze"/>
            <w:rFonts w:ascii="Arial" w:hAnsi="Arial" w:cs="Arial"/>
            <w:color w:val="auto"/>
            <w:u w:val="none"/>
          </w:rPr>
          <w:t>Jim O'Neill</w:t>
        </w:r>
      </w:hyperlink>
      <w:r w:rsidRPr="00DD0965">
        <w:rPr>
          <w:rFonts w:ascii="Arial" w:hAnsi="Arial" w:cs="Arial"/>
        </w:rPr>
        <w:t> , wówczas globalny ekonomista w </w:t>
      </w:r>
      <w:hyperlink r:id="rId39" w:tooltip="Goldman Sachs" w:history="1">
        <w:r w:rsidRPr="00DD0965">
          <w:rPr>
            <w:rStyle w:val="Hipercze"/>
            <w:rFonts w:ascii="Arial" w:hAnsi="Arial" w:cs="Arial"/>
            <w:color w:val="auto"/>
            <w:u w:val="none"/>
          </w:rPr>
          <w:t xml:space="preserve">Goldman </w:t>
        </w:r>
        <w:proofErr w:type="spellStart"/>
        <w:r w:rsidRPr="00DD0965">
          <w:rPr>
            <w:rStyle w:val="Hipercze"/>
            <w:rFonts w:ascii="Arial" w:hAnsi="Arial" w:cs="Arial"/>
            <w:color w:val="auto"/>
            <w:u w:val="none"/>
          </w:rPr>
          <w:t>Sachs</w:t>
        </w:r>
        <w:proofErr w:type="spellEnd"/>
        <w:r w:rsidRPr="00DD0965">
          <w:rPr>
            <w:rStyle w:val="Hipercze"/>
            <w:rFonts w:ascii="Arial" w:hAnsi="Arial" w:cs="Arial"/>
            <w:color w:val="auto"/>
            <w:u w:val="none"/>
          </w:rPr>
          <w:t xml:space="preserve"> , zaproponował, że </w:t>
        </w:r>
      </w:hyperlink>
      <w:hyperlink r:id="rId40" w:tooltip="Potencjał ekonomiczny" w:history="1">
        <w:r w:rsidRPr="00DD0965">
          <w:rPr>
            <w:rStyle w:val="Hipercze"/>
            <w:rFonts w:ascii="Arial" w:hAnsi="Arial" w:cs="Arial"/>
            <w:color w:val="auto"/>
            <w:u w:val="none"/>
          </w:rPr>
          <w:t>potencjał gospodarczy</w:t>
        </w:r>
      </w:hyperlink>
      <w:r w:rsidRPr="00DD0965">
        <w:rPr>
          <w:rFonts w:ascii="Arial" w:hAnsi="Arial" w:cs="Arial"/>
        </w:rPr>
        <w:t> Brazylii </w:t>
      </w:r>
      <w:hyperlink r:id="rId41" w:tooltip="Gospodarka Brazylii" w:history="1">
        <w:r w:rsidRPr="00DD0965">
          <w:rPr>
            <w:rStyle w:val="Hipercze"/>
            <w:rFonts w:ascii="Arial" w:hAnsi="Arial" w:cs="Arial"/>
            <w:color w:val="auto"/>
            <w:u w:val="none"/>
          </w:rPr>
          <w:t>, </w:t>
        </w:r>
      </w:hyperlink>
      <w:hyperlink r:id="rId42" w:tooltip="Gospodarka Rosji" w:history="1">
        <w:r w:rsidRPr="00DD0965">
          <w:rPr>
            <w:rStyle w:val="Hipercze"/>
            <w:rFonts w:ascii="Arial" w:hAnsi="Arial" w:cs="Arial"/>
            <w:color w:val="auto"/>
            <w:u w:val="none"/>
          </w:rPr>
          <w:t>Rosji</w:t>
        </w:r>
      </w:hyperlink>
      <w:r w:rsidRPr="00DD0965">
        <w:rPr>
          <w:rFonts w:ascii="Arial" w:hAnsi="Arial" w:cs="Arial"/>
        </w:rPr>
        <w:t> , </w:t>
      </w:r>
      <w:hyperlink r:id="rId43" w:tooltip="Gospodarka Indii" w:history="1">
        <w:r w:rsidRPr="00DD0965">
          <w:rPr>
            <w:rStyle w:val="Hipercze"/>
            <w:rFonts w:ascii="Arial" w:hAnsi="Arial" w:cs="Arial"/>
            <w:color w:val="auto"/>
            <w:u w:val="none"/>
          </w:rPr>
          <w:t>Indii</w:t>
        </w:r>
      </w:hyperlink>
      <w:r w:rsidRPr="00DD0965">
        <w:rPr>
          <w:rFonts w:ascii="Arial" w:hAnsi="Arial" w:cs="Arial"/>
        </w:rPr>
        <w:t> i </w:t>
      </w:r>
      <w:hyperlink r:id="rId44" w:tooltip="Gospodarka Chin" w:history="1">
        <w:r w:rsidRPr="00DD0965">
          <w:rPr>
            <w:rStyle w:val="Hipercze"/>
            <w:rFonts w:ascii="Arial" w:hAnsi="Arial" w:cs="Arial"/>
            <w:color w:val="auto"/>
            <w:u w:val="none"/>
          </w:rPr>
          <w:t>Chin</w:t>
        </w:r>
      </w:hyperlink>
      <w:r w:rsidRPr="00DD0965">
        <w:rPr>
          <w:rFonts w:ascii="Arial" w:hAnsi="Arial" w:cs="Arial"/>
        </w:rPr>
        <w:t> jest taki, że do 2050 roku mogłyby stać się jednymi z najbardziej dominujących gospodarek. W tamtym czasie kraje te obejmowały ponad 25% powierzchni świata i 40% światowej populacji, a ich łączny </w:t>
      </w:r>
      <w:hyperlink r:id="rId45" w:tooltip="Produkt krajowy brutto" w:history="1">
        <w:r w:rsidRPr="00DD0965">
          <w:rPr>
            <w:rStyle w:val="Hipercze"/>
            <w:rFonts w:ascii="Arial" w:hAnsi="Arial" w:cs="Arial"/>
            <w:color w:val="auto"/>
            <w:u w:val="none"/>
          </w:rPr>
          <w:t>PKB</w:t>
        </w:r>
      </w:hyperlink>
      <w:r w:rsidRPr="00DD0965">
        <w:rPr>
          <w:rFonts w:ascii="Arial" w:hAnsi="Arial" w:cs="Arial"/>
        </w:rPr>
        <w:t> (PPP) wynosił 20 bilionów dolarów. W niemal każdej skali byłyby największym podmiotem na arenie światowej i należałyby do największych i najszybciej rozwijających się </w:t>
      </w:r>
      <w:hyperlink r:id="rId46" w:tooltip="Rynek wschodzący" w:history="1">
        <w:r w:rsidRPr="00DD0965">
          <w:rPr>
            <w:rStyle w:val="Hipercze"/>
            <w:rFonts w:ascii="Arial" w:hAnsi="Arial" w:cs="Arial"/>
            <w:color w:val="auto"/>
            <w:u w:val="none"/>
          </w:rPr>
          <w:t>rynków wschodzących</w:t>
        </w:r>
      </w:hyperlink>
      <w:r w:rsidR="000547CE">
        <w:rPr>
          <w:rFonts w:ascii="Arial" w:hAnsi="Arial" w:cs="Arial"/>
        </w:rPr>
        <w:t>.</w:t>
      </w:r>
    </w:p>
    <w:p w:rsidR="000547CE" w:rsidRPr="00DD0965" w:rsidRDefault="000547CE" w:rsidP="000547CE">
      <w:pPr>
        <w:spacing w:line="360" w:lineRule="auto"/>
        <w:jc w:val="both"/>
        <w:rPr>
          <w:rFonts w:ascii="Arial" w:hAnsi="Arial" w:cs="Arial"/>
          <w:sz w:val="24"/>
          <w:szCs w:val="24"/>
          <w:shd w:val="clear" w:color="auto" w:fill="FFFFFF"/>
        </w:rPr>
      </w:pPr>
      <w:r w:rsidRPr="00DD0965">
        <w:rPr>
          <w:rFonts w:ascii="Arial" w:hAnsi="Arial" w:cs="Arial"/>
          <w:sz w:val="24"/>
          <w:szCs w:val="24"/>
          <w:shd w:val="clear" w:color="auto" w:fill="FFFFFF"/>
        </w:rPr>
        <w:t xml:space="preserve">Termin </w:t>
      </w:r>
      <w:r>
        <w:rPr>
          <w:rFonts w:ascii="Arial" w:hAnsi="Arial" w:cs="Arial"/>
          <w:sz w:val="24"/>
          <w:szCs w:val="24"/>
          <w:shd w:val="clear" w:color="auto" w:fill="FFFFFF"/>
        </w:rPr>
        <w:t xml:space="preserve">BRICS </w:t>
      </w:r>
      <w:r w:rsidRPr="00DD0965">
        <w:rPr>
          <w:rFonts w:ascii="Arial" w:hAnsi="Arial" w:cs="Arial"/>
          <w:sz w:val="24"/>
          <w:szCs w:val="24"/>
          <w:shd w:val="clear" w:color="auto" w:fill="FFFFFF"/>
        </w:rPr>
        <w:t>został po raz pierwszy użyty przez brytyjskiego ekonomistę </w:t>
      </w:r>
      <w:hyperlink r:id="rId47" w:tooltip="Jim O'Neill, Baron O'Neill z Gatley" w:history="1">
        <w:r w:rsidRPr="00DD0965">
          <w:rPr>
            <w:rStyle w:val="Hipercze"/>
            <w:rFonts w:ascii="Arial" w:hAnsi="Arial" w:cs="Arial"/>
            <w:color w:val="auto"/>
            <w:sz w:val="24"/>
            <w:szCs w:val="24"/>
            <w:u w:val="none"/>
            <w:shd w:val="clear" w:color="auto" w:fill="FFFFFF"/>
          </w:rPr>
          <w:t>Jima O'Neilla</w:t>
        </w:r>
      </w:hyperlink>
      <w:r w:rsidRPr="00DD0965">
        <w:rPr>
          <w:rFonts w:ascii="Arial" w:hAnsi="Arial" w:cs="Arial"/>
          <w:sz w:val="24"/>
          <w:szCs w:val="24"/>
          <w:shd w:val="clear" w:color="auto" w:fill="FFFFFF"/>
        </w:rPr>
        <w:t> , a później promowany przez jego pracodawcę </w:t>
      </w:r>
      <w:hyperlink r:id="rId48" w:tooltip="Goldman Sachs" w:history="1">
        <w:r w:rsidRPr="00DD0965">
          <w:rPr>
            <w:rStyle w:val="Hipercze"/>
            <w:rFonts w:ascii="Arial" w:hAnsi="Arial" w:cs="Arial"/>
            <w:color w:val="auto"/>
            <w:sz w:val="24"/>
            <w:szCs w:val="24"/>
            <w:u w:val="none"/>
            <w:shd w:val="clear" w:color="auto" w:fill="FFFFFF"/>
          </w:rPr>
          <w:t xml:space="preserve">Goldman </w:t>
        </w:r>
        <w:proofErr w:type="spellStart"/>
        <w:r w:rsidRPr="00DD0965">
          <w:rPr>
            <w:rStyle w:val="Hipercze"/>
            <w:rFonts w:ascii="Arial" w:hAnsi="Arial" w:cs="Arial"/>
            <w:color w:val="auto"/>
            <w:sz w:val="24"/>
            <w:szCs w:val="24"/>
            <w:u w:val="none"/>
            <w:shd w:val="clear" w:color="auto" w:fill="FFFFFF"/>
          </w:rPr>
          <w:t>Sachs</w:t>
        </w:r>
        <w:proofErr w:type="spellEnd"/>
      </w:hyperlink>
      <w:r w:rsidRPr="00DD0965">
        <w:rPr>
          <w:rFonts w:ascii="Arial" w:hAnsi="Arial" w:cs="Arial"/>
          <w:sz w:val="24"/>
          <w:szCs w:val="24"/>
          <w:shd w:val="clear" w:color="auto" w:fill="FFFFFF"/>
        </w:rPr>
        <w:t> w 2001 roku. O'Neill zidentyfikował cztery kraje jako </w:t>
      </w:r>
      <w:hyperlink r:id="rId49" w:tooltip="Rynek wschodzący" w:history="1">
        <w:r w:rsidRPr="00DD0965">
          <w:rPr>
            <w:rStyle w:val="Hipercze"/>
            <w:rFonts w:ascii="Arial" w:hAnsi="Arial" w:cs="Arial"/>
            <w:color w:val="auto"/>
            <w:sz w:val="24"/>
            <w:szCs w:val="24"/>
            <w:u w:val="none"/>
            <w:shd w:val="clear" w:color="auto" w:fill="FFFFFF"/>
          </w:rPr>
          <w:t>rynki wschodzące</w:t>
        </w:r>
      </w:hyperlink>
      <w:r w:rsidRPr="00DD0965">
        <w:rPr>
          <w:rFonts w:ascii="Arial" w:hAnsi="Arial" w:cs="Arial"/>
          <w:sz w:val="24"/>
          <w:szCs w:val="24"/>
          <w:shd w:val="clear" w:color="auto" w:fill="FFFFFF"/>
        </w:rPr>
        <w:t> i rosnące </w:t>
      </w:r>
      <w:hyperlink r:id="rId50" w:tooltip="Siła ekonomiczna" w:history="1">
        <w:r w:rsidRPr="00DD0965">
          <w:rPr>
            <w:rStyle w:val="Hipercze"/>
            <w:rFonts w:ascii="Arial" w:hAnsi="Arial" w:cs="Arial"/>
            <w:color w:val="auto"/>
            <w:sz w:val="24"/>
            <w:szCs w:val="24"/>
            <w:u w:val="none"/>
            <w:shd w:val="clear" w:color="auto" w:fill="FFFFFF"/>
          </w:rPr>
          <w:t>potęgi gospodarcze</w:t>
        </w:r>
      </w:hyperlink>
      <w:r w:rsidRPr="00DD0965">
        <w:rPr>
          <w:rFonts w:ascii="Arial" w:hAnsi="Arial" w:cs="Arial"/>
          <w:sz w:val="24"/>
          <w:szCs w:val="24"/>
          <w:shd w:val="clear" w:color="auto" w:fill="FFFFFF"/>
        </w:rPr>
        <w:t xml:space="preserve"> , które znajdowały się na podobnym etapie nowo zaawansowanego rozwoju gospodarczego. Goldman </w:t>
      </w:r>
      <w:proofErr w:type="spellStart"/>
      <w:r w:rsidRPr="00DD0965">
        <w:rPr>
          <w:rFonts w:ascii="Arial" w:hAnsi="Arial" w:cs="Arial"/>
          <w:sz w:val="24"/>
          <w:szCs w:val="24"/>
          <w:shd w:val="clear" w:color="auto" w:fill="FFFFFF"/>
        </w:rPr>
        <w:t>Sachs</w:t>
      </w:r>
      <w:proofErr w:type="spellEnd"/>
      <w:r w:rsidRPr="00DD0965">
        <w:rPr>
          <w:rFonts w:ascii="Arial" w:hAnsi="Arial" w:cs="Arial"/>
          <w:sz w:val="24"/>
          <w:szCs w:val="24"/>
          <w:shd w:val="clear" w:color="auto" w:fill="FFFFFF"/>
        </w:rPr>
        <w:t xml:space="preserve">, w którym O'Neill był szefem globalnych badań ekonomicznych, kontynuował raportowanie i inwestowanie w swój fundusz BRIC do 2015 roku. W artykule retrospektywnym z 2023 roku O'Neill skomentował, że po pierwotnej propozycji terminu, zyskał on nieproporcjonalnie dużą popularność w latach 2000 i 2010, aby wyjaśnić warunki gospodarcze czterech krajów. Przyznał również, że raporty opublikowane przez Goldman </w:t>
      </w:r>
      <w:proofErr w:type="spellStart"/>
      <w:r w:rsidRPr="00DD0965">
        <w:rPr>
          <w:rFonts w:ascii="Arial" w:hAnsi="Arial" w:cs="Arial"/>
          <w:sz w:val="24"/>
          <w:szCs w:val="24"/>
          <w:shd w:val="clear" w:color="auto" w:fill="FFFFFF"/>
        </w:rPr>
        <w:t>Sachs</w:t>
      </w:r>
      <w:proofErr w:type="spellEnd"/>
      <w:r w:rsidRPr="00DD0965">
        <w:rPr>
          <w:rFonts w:ascii="Arial" w:hAnsi="Arial" w:cs="Arial"/>
          <w:sz w:val="24"/>
          <w:szCs w:val="24"/>
          <w:shd w:val="clear" w:color="auto" w:fill="FFFFFF"/>
        </w:rPr>
        <w:t>, które przedstawiały optymistyczną wizję gospodarek BRIC w roku 2050, najprawdopodobniej się nie sprawdzą, ponieważ recesje gospodarcze w latach 2010. i na początku lat 2020. poważnie zmieniły trajektorię gospodarek każdego z tych krajów.</w:t>
      </w:r>
    </w:p>
    <w:p w:rsidR="00DD0965" w:rsidRPr="00DD0965" w:rsidRDefault="00DD0965" w:rsidP="00DD0965">
      <w:pPr>
        <w:pStyle w:val="NormalnyWeb"/>
        <w:shd w:val="clear" w:color="auto" w:fill="FFFFFF"/>
        <w:spacing w:before="120" w:beforeAutospacing="0" w:after="240" w:afterAutospacing="0" w:line="360" w:lineRule="auto"/>
        <w:jc w:val="both"/>
        <w:rPr>
          <w:rFonts w:ascii="Arial" w:hAnsi="Arial" w:cs="Arial"/>
        </w:rPr>
      </w:pPr>
      <w:r w:rsidRPr="00DD0965">
        <w:rPr>
          <w:rFonts w:ascii="Arial" w:hAnsi="Arial" w:cs="Arial"/>
        </w:rPr>
        <w:t>Podjęły one kroki polityczne w celu zwiększenia współpracy, głównie jako sposób wpływania na stanowisko </w:t>
      </w:r>
      <w:hyperlink r:id="rId51" w:tooltip="Stany Zjednoczone" w:history="1">
        <w:r w:rsidRPr="00DD0965">
          <w:rPr>
            <w:rStyle w:val="Hipercze"/>
            <w:rFonts w:ascii="Arial" w:hAnsi="Arial" w:cs="Arial"/>
            <w:color w:val="auto"/>
            <w:u w:val="none"/>
          </w:rPr>
          <w:t>Stanów Zjednoczonych</w:t>
        </w:r>
      </w:hyperlink>
      <w:r w:rsidRPr="00DD0965">
        <w:rPr>
          <w:rFonts w:ascii="Arial" w:hAnsi="Arial" w:cs="Arial"/>
        </w:rPr>
        <w:t> w sprawie głównych porozumień handlowych lub, poprzez dorozumiane zagrożenie współpracy politycznej, jako sposób wymuszenia na Stanach Zjednoczonych </w:t>
      </w:r>
      <w:hyperlink r:id="rId52" w:tooltip="Koncesja (polityka)" w:history="1">
        <w:r w:rsidRPr="00DD0965">
          <w:rPr>
            <w:rStyle w:val="Hipercze"/>
            <w:rFonts w:ascii="Arial" w:hAnsi="Arial" w:cs="Arial"/>
            <w:color w:val="auto"/>
            <w:u w:val="none"/>
          </w:rPr>
          <w:t>ustępstw politycznych, takich jak proponowana współpraca nuklearna z Indiami. </w:t>
        </w:r>
      </w:hyperlink>
    </w:p>
    <w:p w:rsidR="00DD0965" w:rsidRDefault="00DD0965">
      <w:pPr>
        <w:rPr>
          <w:rFonts w:ascii="Arial" w:eastAsiaTheme="majorEastAsia" w:hAnsi="Arial" w:cs="Arial"/>
          <w:b/>
          <w:sz w:val="24"/>
          <w:szCs w:val="24"/>
        </w:rPr>
      </w:pPr>
      <w:r>
        <w:rPr>
          <w:rFonts w:ascii="Arial" w:hAnsi="Arial" w:cs="Arial"/>
          <w:b/>
        </w:rPr>
        <w:br w:type="page"/>
      </w:r>
    </w:p>
    <w:p w:rsidR="00DD0965" w:rsidRPr="00DD0965" w:rsidRDefault="00DD0965" w:rsidP="00DD0965">
      <w:pPr>
        <w:pStyle w:val="Nagwek3"/>
        <w:shd w:val="clear" w:color="auto" w:fill="FFFFFF"/>
        <w:spacing w:before="0" w:after="60"/>
        <w:jc w:val="both"/>
        <w:rPr>
          <w:rFonts w:ascii="Arial" w:hAnsi="Arial" w:cs="Arial"/>
          <w:b/>
          <w:color w:val="auto"/>
        </w:rPr>
      </w:pPr>
      <w:r w:rsidRPr="00DD0965">
        <w:rPr>
          <w:rFonts w:ascii="Arial" w:hAnsi="Arial" w:cs="Arial"/>
          <w:b/>
          <w:color w:val="auto"/>
        </w:rPr>
        <w:lastRenderedPageBreak/>
        <w:t>„Marzenie z BRICS: Droga do 2050” (2003)</w:t>
      </w:r>
    </w:p>
    <w:p w:rsidR="00DD0965" w:rsidRPr="000547CE" w:rsidRDefault="000547CE" w:rsidP="000547CE">
      <w:pPr>
        <w:pStyle w:val="NormalnyWeb"/>
        <w:shd w:val="clear" w:color="auto" w:fill="FFFFFF"/>
        <w:spacing w:before="120" w:beforeAutospacing="0" w:after="240" w:afterAutospacing="0" w:line="360" w:lineRule="auto"/>
        <w:jc w:val="both"/>
        <w:rPr>
          <w:rFonts w:ascii="Arial" w:hAnsi="Arial" w:cs="Arial"/>
        </w:rPr>
      </w:pPr>
      <w:r>
        <w:rPr>
          <w:rFonts w:ascii="Arial" w:hAnsi="Arial" w:cs="Arial"/>
        </w:rPr>
        <w:t xml:space="preserve">Koncepcja </w:t>
      </w:r>
      <w:r w:rsidR="00DD0965" w:rsidRPr="000547CE">
        <w:rPr>
          <w:rFonts w:ascii="Arial" w:hAnsi="Arial" w:cs="Arial"/>
        </w:rPr>
        <w:t>BRIC uznaje, że </w:t>
      </w:r>
      <w:hyperlink r:id="rId53" w:tooltip="Brazylia" w:history="1">
        <w:r w:rsidR="00DD0965" w:rsidRPr="000547CE">
          <w:rPr>
            <w:rStyle w:val="Hipercze"/>
            <w:rFonts w:ascii="Arial" w:hAnsi="Arial" w:cs="Arial"/>
            <w:color w:val="auto"/>
            <w:u w:val="none"/>
          </w:rPr>
          <w:t>Brazylia</w:t>
        </w:r>
      </w:hyperlink>
      <w:r w:rsidR="00DD0965" w:rsidRPr="000547CE">
        <w:rPr>
          <w:rFonts w:ascii="Arial" w:hAnsi="Arial" w:cs="Arial"/>
        </w:rPr>
        <w:t> , </w:t>
      </w:r>
      <w:hyperlink r:id="rId54" w:tooltip="Rosja" w:history="1">
        <w:r w:rsidR="00DD0965" w:rsidRPr="000547CE">
          <w:rPr>
            <w:rStyle w:val="Hipercze"/>
            <w:rFonts w:ascii="Arial" w:hAnsi="Arial" w:cs="Arial"/>
            <w:color w:val="auto"/>
            <w:u w:val="none"/>
          </w:rPr>
          <w:t>Rosja</w:t>
        </w:r>
      </w:hyperlink>
      <w:r w:rsidR="00DD0965" w:rsidRPr="000547CE">
        <w:rPr>
          <w:rFonts w:ascii="Arial" w:hAnsi="Arial" w:cs="Arial"/>
        </w:rPr>
        <w:t> , </w:t>
      </w:r>
      <w:hyperlink r:id="rId55" w:tooltip="Indie" w:history="1">
        <w:r w:rsidR="00DD0965" w:rsidRPr="000547CE">
          <w:rPr>
            <w:rStyle w:val="Hipercze"/>
            <w:rFonts w:ascii="Arial" w:hAnsi="Arial" w:cs="Arial"/>
            <w:color w:val="auto"/>
            <w:u w:val="none"/>
          </w:rPr>
          <w:t>Indie</w:t>
        </w:r>
      </w:hyperlink>
      <w:r w:rsidR="00DD0965" w:rsidRPr="000547CE">
        <w:rPr>
          <w:rFonts w:ascii="Arial" w:hAnsi="Arial" w:cs="Arial"/>
        </w:rPr>
        <w:t> i </w:t>
      </w:r>
      <w:hyperlink r:id="rId56" w:tooltip="Chiny" w:history="1">
        <w:r w:rsidR="00DD0965" w:rsidRPr="000547CE">
          <w:rPr>
            <w:rStyle w:val="Hipercze"/>
            <w:rFonts w:ascii="Arial" w:hAnsi="Arial" w:cs="Arial"/>
            <w:color w:val="auto"/>
            <w:u w:val="none"/>
          </w:rPr>
          <w:t>Chiny</w:t>
        </w:r>
      </w:hyperlink>
      <w:r w:rsidR="00DD0965" w:rsidRPr="000547CE">
        <w:rPr>
          <w:rFonts w:ascii="Arial" w:hAnsi="Arial" w:cs="Arial"/>
        </w:rPr>
        <w:t> zmieniły swoje systemy polityczne, aby objąć globalny </w:t>
      </w:r>
      <w:hyperlink r:id="rId57" w:tooltip="Kapitalizm" w:history="1">
        <w:r w:rsidR="00DD0965" w:rsidRPr="000547CE">
          <w:rPr>
            <w:rStyle w:val="Hipercze"/>
            <w:rFonts w:ascii="Arial" w:hAnsi="Arial" w:cs="Arial"/>
            <w:color w:val="auto"/>
            <w:u w:val="none"/>
          </w:rPr>
          <w:t>kapitalizm</w:t>
        </w:r>
      </w:hyperlink>
      <w:r w:rsidR="00DD0965" w:rsidRPr="000547CE">
        <w:rPr>
          <w:rFonts w:ascii="Arial" w:hAnsi="Arial" w:cs="Arial"/>
        </w:rPr>
        <w:t xml:space="preserve">. Goldman </w:t>
      </w:r>
      <w:proofErr w:type="spellStart"/>
      <w:r w:rsidR="00DD0965" w:rsidRPr="000547CE">
        <w:rPr>
          <w:rFonts w:ascii="Arial" w:hAnsi="Arial" w:cs="Arial"/>
        </w:rPr>
        <w:t>Sachs</w:t>
      </w:r>
      <w:proofErr w:type="spellEnd"/>
      <w:r w:rsidR="00DD0965" w:rsidRPr="000547CE">
        <w:rPr>
          <w:rFonts w:ascii="Arial" w:hAnsi="Arial" w:cs="Arial"/>
        </w:rPr>
        <w:t xml:space="preserve"> przewiduje, że Chiny i Indie staną się odpowiednio dominującymi globalnymi dostawcami dóbr i </w:t>
      </w:r>
      <w:hyperlink r:id="rId58" w:tooltip="Usługa (ekonomia)" w:history="1">
        <w:r w:rsidR="00DD0965" w:rsidRPr="000547CE">
          <w:rPr>
            <w:rStyle w:val="Hipercze"/>
            <w:rFonts w:ascii="Arial" w:hAnsi="Arial" w:cs="Arial"/>
            <w:color w:val="auto"/>
            <w:u w:val="none"/>
          </w:rPr>
          <w:t>usług </w:t>
        </w:r>
      </w:hyperlink>
      <w:hyperlink r:id="rId59" w:tooltip="Towar wytworzony" w:history="1">
        <w:r w:rsidR="00DD0965" w:rsidRPr="000547CE">
          <w:rPr>
            <w:rStyle w:val="Hipercze"/>
            <w:rFonts w:ascii="Arial" w:hAnsi="Arial" w:cs="Arial"/>
            <w:color w:val="auto"/>
            <w:u w:val="none"/>
          </w:rPr>
          <w:t>wytwarzanych</w:t>
        </w:r>
      </w:hyperlink>
      <w:r w:rsidR="00DD0965" w:rsidRPr="000547CE">
        <w:rPr>
          <w:rFonts w:ascii="Arial" w:hAnsi="Arial" w:cs="Arial"/>
        </w:rPr>
        <w:t> , podczas gdy Brazylia i Rosja staną się podobnie dominującymi dostawcami surowców. Spośród czterech krajów Brazylia pozostaje jedynym </w:t>
      </w:r>
      <w:hyperlink r:id="rId60" w:tooltip="Ustrój" w:history="1">
        <w:r w:rsidR="00DD0965" w:rsidRPr="000547CE">
          <w:rPr>
            <w:rStyle w:val="Hipercze"/>
            <w:rFonts w:ascii="Arial" w:hAnsi="Arial" w:cs="Arial"/>
            <w:color w:val="auto"/>
            <w:u w:val="none"/>
          </w:rPr>
          <w:t>systemem politycznym</w:t>
        </w:r>
      </w:hyperlink>
      <w:r w:rsidR="00DD0965" w:rsidRPr="000547CE">
        <w:rPr>
          <w:rFonts w:ascii="Arial" w:hAnsi="Arial" w:cs="Arial"/>
        </w:rPr>
        <w:t> , który może kontynuować wszystkie elementy, co oznacza produkcję, usługi i dostarczanie zasobów jednocześnie. Współpraca jest zatem hipotetycznie uznawana za logiczny kolejny krok wśród BRIC, ponieważ Brazylia i Rosja razem tworzą logicznych dostawców towarów.</w:t>
      </w:r>
    </w:p>
    <w:p w:rsidR="00DD0965" w:rsidRPr="000547CE" w:rsidRDefault="00DD0965" w:rsidP="000547CE">
      <w:pPr>
        <w:pStyle w:val="NormalnyWeb"/>
        <w:shd w:val="clear" w:color="auto" w:fill="FFFFFF"/>
        <w:spacing w:before="120" w:beforeAutospacing="0" w:after="240" w:afterAutospacing="0" w:line="360" w:lineRule="auto"/>
        <w:jc w:val="both"/>
        <w:rPr>
          <w:rFonts w:ascii="Arial" w:hAnsi="Arial" w:cs="Arial"/>
        </w:rPr>
      </w:pPr>
      <w:r w:rsidRPr="000547CE">
        <w:rPr>
          <w:rFonts w:ascii="Arial" w:hAnsi="Arial" w:cs="Arial"/>
        </w:rPr>
        <w:t xml:space="preserve">W 2016 r. australijski ekonomista przewidział, że w 2050 r. Chiny i Indie będą odpowiednio na pierwszym i drugim miejscu pod względem wydatków PKB na mieszkańca, wyprzedzając Stany Zjednoczone. Brazylia miała znaleźć się na piątej pozycji. Przypisano to przesunięciu się światowego centrum gospodarczego z Atlantyku do regionu Azji i Pacyfiku.  </w:t>
      </w:r>
    </w:p>
    <w:p w:rsidR="00B70ACB" w:rsidRDefault="00B70ACB">
      <w:pPr>
        <w:rPr>
          <w:rFonts w:ascii="Arial" w:hAnsi="Arial" w:cs="Arial"/>
          <w:b/>
        </w:rPr>
      </w:pPr>
      <w:r>
        <w:rPr>
          <w:rFonts w:ascii="Arial" w:hAnsi="Arial" w:cs="Arial"/>
          <w:b/>
        </w:rPr>
        <w:br w:type="page"/>
      </w:r>
    </w:p>
    <w:p w:rsidR="00B70ACB" w:rsidRPr="00012E60" w:rsidRDefault="00B70ACB" w:rsidP="00012E60">
      <w:pPr>
        <w:pStyle w:val="Nagwek3"/>
        <w:shd w:val="clear" w:color="auto" w:fill="FFFFFF"/>
        <w:spacing w:before="0" w:after="60" w:line="360" w:lineRule="auto"/>
        <w:rPr>
          <w:rFonts w:ascii="Arial" w:hAnsi="Arial" w:cs="Arial"/>
          <w:b/>
          <w:color w:val="auto"/>
        </w:rPr>
      </w:pPr>
      <w:r w:rsidRPr="00012E60">
        <w:rPr>
          <w:rFonts w:ascii="Arial" w:hAnsi="Arial" w:cs="Arial"/>
          <w:b/>
          <w:color w:val="auto"/>
        </w:rPr>
        <w:lastRenderedPageBreak/>
        <w:t>Krytyka</w:t>
      </w:r>
    </w:p>
    <w:p w:rsidR="00DA63BB" w:rsidRDefault="00B70ACB" w:rsidP="00012E60">
      <w:pPr>
        <w:pStyle w:val="NormalnyWeb"/>
        <w:shd w:val="clear" w:color="auto" w:fill="FFFFFF"/>
        <w:spacing w:before="120" w:beforeAutospacing="0" w:after="240" w:afterAutospacing="0" w:line="360" w:lineRule="auto"/>
        <w:jc w:val="both"/>
        <w:rPr>
          <w:rFonts w:ascii="Arial" w:hAnsi="Arial" w:cs="Arial"/>
        </w:rPr>
      </w:pPr>
      <w:r w:rsidRPr="00B70ACB">
        <w:rPr>
          <w:rFonts w:ascii="Arial" w:hAnsi="Arial" w:cs="Arial"/>
        </w:rPr>
        <w:t xml:space="preserve">Naukowcy i eksperci sugerują, że Chiny są w swojej własnej lidze w porównaniu z innymi krajami </w:t>
      </w:r>
      <w:proofErr w:type="spellStart"/>
      <w:r w:rsidRPr="00B70ACB">
        <w:rPr>
          <w:rFonts w:ascii="Arial" w:hAnsi="Arial" w:cs="Arial"/>
        </w:rPr>
        <w:t>BRIC.Jak</w:t>
      </w:r>
      <w:proofErr w:type="spellEnd"/>
      <w:r w:rsidRPr="00B70ACB">
        <w:rPr>
          <w:rFonts w:ascii="Arial" w:hAnsi="Arial" w:cs="Arial"/>
        </w:rPr>
        <w:t xml:space="preserve"> napisał </w:t>
      </w:r>
      <w:hyperlink r:id="rId61" w:tooltip="Dawid Rothkopf" w:history="1">
        <w:r w:rsidRPr="00B70ACB">
          <w:rPr>
            <w:rStyle w:val="Hipercze"/>
            <w:rFonts w:ascii="Arial" w:hAnsi="Arial" w:cs="Arial"/>
            <w:color w:val="auto"/>
            <w:u w:val="none"/>
          </w:rPr>
          <w:t xml:space="preserve">David </w:t>
        </w:r>
        <w:proofErr w:type="spellStart"/>
        <w:r w:rsidRPr="00B70ACB">
          <w:rPr>
            <w:rStyle w:val="Hipercze"/>
            <w:rFonts w:ascii="Arial" w:hAnsi="Arial" w:cs="Arial"/>
            <w:color w:val="auto"/>
            <w:u w:val="none"/>
          </w:rPr>
          <w:t>Rothkopf</w:t>
        </w:r>
        <w:proofErr w:type="spellEnd"/>
      </w:hyperlink>
      <w:r w:rsidRPr="00B70ACB">
        <w:rPr>
          <w:rFonts w:ascii="Arial" w:hAnsi="Arial" w:cs="Arial"/>
        </w:rPr>
        <w:t> w </w:t>
      </w:r>
      <w:proofErr w:type="spellStart"/>
      <w:r w:rsidRPr="00B70ACB">
        <w:rPr>
          <w:rFonts w:ascii="Arial" w:hAnsi="Arial" w:cs="Arial"/>
          <w:i/>
          <w:iCs/>
        </w:rPr>
        <w:fldChar w:fldCharType="begin"/>
      </w:r>
      <w:r w:rsidRPr="00B70ACB">
        <w:rPr>
          <w:rFonts w:ascii="Arial" w:hAnsi="Arial" w:cs="Arial"/>
          <w:i/>
          <w:iCs/>
        </w:rPr>
        <w:instrText xml:space="preserve"> HYPERLINK "https://en.wikipedia.org/wiki/Foreign_Policy" \o "Polityka zagraniczna" </w:instrText>
      </w:r>
      <w:r w:rsidRPr="00B70ACB">
        <w:rPr>
          <w:rFonts w:ascii="Arial" w:hAnsi="Arial" w:cs="Arial"/>
          <w:i/>
          <w:iCs/>
        </w:rPr>
        <w:fldChar w:fldCharType="separate"/>
      </w:r>
      <w:r w:rsidRPr="00B70ACB">
        <w:rPr>
          <w:rStyle w:val="Hipercze"/>
          <w:rFonts w:ascii="Arial" w:hAnsi="Arial" w:cs="Arial"/>
          <w:i/>
          <w:iCs/>
          <w:color w:val="auto"/>
          <w:u w:val="none"/>
        </w:rPr>
        <w:t>Foreign</w:t>
      </w:r>
      <w:proofErr w:type="spellEnd"/>
      <w:r w:rsidRPr="00B70ACB">
        <w:rPr>
          <w:rStyle w:val="Hipercze"/>
          <w:rFonts w:ascii="Arial" w:hAnsi="Arial" w:cs="Arial"/>
          <w:i/>
          <w:iCs/>
          <w:color w:val="auto"/>
          <w:u w:val="none"/>
        </w:rPr>
        <w:t xml:space="preserve"> Policy</w:t>
      </w:r>
      <w:r w:rsidRPr="00B70ACB">
        <w:rPr>
          <w:rFonts w:ascii="Arial" w:hAnsi="Arial" w:cs="Arial"/>
          <w:i/>
          <w:iCs/>
        </w:rPr>
        <w:fldChar w:fldCharType="end"/>
      </w:r>
      <w:r w:rsidRPr="00B70ACB">
        <w:rPr>
          <w:rFonts w:ascii="Arial" w:hAnsi="Arial" w:cs="Arial"/>
        </w:rPr>
        <w:t> , „Bez Chin BRIC są po prostu BRI, mdłym, miękkim serem, który jest znany przede wszystkim z narzekania [sic], które mu towarzyszy. Chiny są siłą napędową grupy i Chińczycy o tym wiedzą. Mają skuteczne </w:t>
      </w:r>
      <w:hyperlink r:id="rId62" w:tooltip="Prawo weta" w:history="1">
        <w:r w:rsidRPr="00B70ACB">
          <w:rPr>
            <w:rStyle w:val="Hipercze"/>
            <w:rFonts w:ascii="Arial" w:hAnsi="Arial" w:cs="Arial"/>
            <w:color w:val="auto"/>
            <w:u w:val="none"/>
          </w:rPr>
          <w:t>prawo weta</w:t>
        </w:r>
      </w:hyperlink>
      <w:r w:rsidRPr="00B70ACB">
        <w:rPr>
          <w:rFonts w:ascii="Arial" w:hAnsi="Arial" w:cs="Arial"/>
        </w:rPr>
        <w:t> w stosunku do wszelkich inicjatyw BRIC, ponieważ bez nich, kogo to naprawdę obchodzi? To oni mają największe </w:t>
      </w:r>
      <w:hyperlink r:id="rId63" w:tooltip="Rezerwy walutowe" w:history="1">
        <w:r w:rsidRPr="00B70ACB">
          <w:rPr>
            <w:rStyle w:val="Hipercze"/>
            <w:rFonts w:ascii="Arial" w:hAnsi="Arial" w:cs="Arial"/>
            <w:color w:val="auto"/>
            <w:u w:val="none"/>
          </w:rPr>
          <w:t>rezerwy</w:t>
        </w:r>
      </w:hyperlink>
      <w:r w:rsidRPr="00B70ACB">
        <w:rPr>
          <w:rFonts w:ascii="Arial" w:hAnsi="Arial" w:cs="Arial"/>
        </w:rPr>
        <w:t> . Są największym potencjalnym </w:t>
      </w:r>
      <w:hyperlink r:id="rId64" w:tooltip="Rynek (ekonomia)" w:history="1">
        <w:r w:rsidRPr="00B70ACB">
          <w:rPr>
            <w:rStyle w:val="Hipercze"/>
            <w:rFonts w:ascii="Arial" w:hAnsi="Arial" w:cs="Arial"/>
            <w:color w:val="auto"/>
            <w:u w:val="none"/>
          </w:rPr>
          <w:t>rynkiem</w:t>
        </w:r>
      </w:hyperlink>
      <w:r w:rsidRPr="00B70ACB">
        <w:rPr>
          <w:rFonts w:ascii="Arial" w:hAnsi="Arial" w:cs="Arial"/>
        </w:rPr>
        <w:t> . Są partnerem USA w </w:t>
      </w:r>
      <w:hyperlink r:id="rId65" w:tooltip="Grupa Dwojga" w:history="1">
        <w:r w:rsidRPr="00B70ACB">
          <w:rPr>
            <w:rStyle w:val="Hipercze"/>
            <w:rFonts w:ascii="Arial" w:hAnsi="Arial" w:cs="Arial"/>
            <w:color w:val="auto"/>
            <w:u w:val="none"/>
          </w:rPr>
          <w:t>G2</w:t>
        </w:r>
      </w:hyperlink>
      <w:r w:rsidRPr="00B70ACB">
        <w:rPr>
          <w:rFonts w:ascii="Arial" w:hAnsi="Arial" w:cs="Arial"/>
        </w:rPr>
        <w:t> (wyobraź sobie, jaki zasięg ma spotkanie G2 w porównaniu ze spotkaniem </w:t>
      </w:r>
      <w:hyperlink r:id="rId66" w:tooltip="G8" w:history="1">
        <w:r w:rsidRPr="00B70ACB">
          <w:rPr>
            <w:rStyle w:val="Hipercze"/>
            <w:rFonts w:ascii="Arial" w:hAnsi="Arial" w:cs="Arial"/>
            <w:color w:val="auto"/>
            <w:u w:val="none"/>
          </w:rPr>
          <w:t>G8</w:t>
        </w:r>
      </w:hyperlink>
      <w:r w:rsidRPr="00B70ACB">
        <w:rPr>
          <w:rFonts w:ascii="Arial" w:hAnsi="Arial" w:cs="Arial"/>
        </w:rPr>
        <w:t> ) i E2 (bez nich nie ma porozumienia klimatycznego) i tak dalej”. </w:t>
      </w:r>
    </w:p>
    <w:p w:rsidR="00DA63BB" w:rsidRDefault="00B70ACB" w:rsidP="00012E60">
      <w:pPr>
        <w:pStyle w:val="NormalnyWeb"/>
        <w:shd w:val="clear" w:color="auto" w:fill="FFFFFF"/>
        <w:spacing w:before="120" w:beforeAutospacing="0" w:after="240" w:afterAutospacing="0" w:line="360" w:lineRule="auto"/>
        <w:jc w:val="both"/>
        <w:rPr>
          <w:rFonts w:ascii="Arial" w:hAnsi="Arial" w:cs="Arial"/>
        </w:rPr>
      </w:pPr>
      <w:hyperlink r:id="rId67" w:tooltip="Deutsche Bank" w:history="1">
        <w:r w:rsidRPr="00B70ACB">
          <w:rPr>
            <w:rStyle w:val="Hipercze"/>
            <w:rFonts w:ascii="Arial" w:hAnsi="Arial" w:cs="Arial"/>
            <w:color w:val="auto"/>
            <w:u w:val="none"/>
          </w:rPr>
          <w:t>Deutsche Bank</w:t>
        </w:r>
      </w:hyperlink>
      <w:r w:rsidRPr="00B70ACB">
        <w:rPr>
          <w:rFonts w:ascii="Arial" w:hAnsi="Arial" w:cs="Arial"/>
        </w:rPr>
        <w:t> </w:t>
      </w:r>
      <w:proofErr w:type="spellStart"/>
      <w:r w:rsidRPr="00B70ACB">
        <w:rPr>
          <w:rFonts w:ascii="Arial" w:hAnsi="Arial" w:cs="Arial"/>
        </w:rPr>
        <w:t>Research</w:t>
      </w:r>
      <w:proofErr w:type="spellEnd"/>
      <w:r w:rsidRPr="00B70ACB">
        <w:rPr>
          <w:rFonts w:ascii="Arial" w:hAnsi="Arial" w:cs="Arial"/>
        </w:rPr>
        <w:t xml:space="preserve"> stwierdził w raporcie, że „gospodarczo, finansowo i politycznie Chiny przyćmiewają i będą nadal przyćmiewać inne kraje BRIC”. Dodał, że gospodarka Chin jest większa niż gospodarka trzech pozostałych gospodarek BRIC (Brazylii, Rosji i Indii) razem wziętych. Co więcej, </w:t>
      </w:r>
      <w:hyperlink r:id="rId68" w:tooltip="Eksport" w:history="1">
        <w:r w:rsidRPr="00B70ACB">
          <w:rPr>
            <w:rStyle w:val="Hipercze"/>
            <w:rFonts w:ascii="Arial" w:hAnsi="Arial" w:cs="Arial"/>
            <w:color w:val="auto"/>
            <w:u w:val="none"/>
          </w:rPr>
          <w:t>eksport</w:t>
        </w:r>
      </w:hyperlink>
      <w:r w:rsidRPr="00B70ACB">
        <w:rPr>
          <w:rFonts w:ascii="Arial" w:hAnsi="Arial" w:cs="Arial"/>
        </w:rPr>
        <w:t> Chin i ich oficjalne </w:t>
      </w:r>
      <w:hyperlink r:id="rId69" w:tooltip="Rezerwy walutowe" w:history="1">
        <w:r w:rsidRPr="00B70ACB">
          <w:rPr>
            <w:rStyle w:val="Hipercze"/>
            <w:rFonts w:ascii="Arial" w:hAnsi="Arial" w:cs="Arial"/>
            <w:color w:val="auto"/>
            <w:u w:val="none"/>
          </w:rPr>
          <w:t>rezerwy walutowe</w:t>
        </w:r>
      </w:hyperlink>
      <w:r w:rsidRPr="00B70ACB">
        <w:rPr>
          <w:rFonts w:ascii="Arial" w:hAnsi="Arial" w:cs="Arial"/>
        </w:rPr>
        <w:t> są ponad dwukrotnie większe niż pozostałych gospodarek BRIC razem wziętych. </w:t>
      </w:r>
    </w:p>
    <w:p w:rsidR="00DA63BB" w:rsidRDefault="00B70ACB" w:rsidP="00012E60">
      <w:pPr>
        <w:pStyle w:val="NormalnyWeb"/>
        <w:shd w:val="clear" w:color="auto" w:fill="FFFFFF"/>
        <w:spacing w:before="120" w:beforeAutospacing="0" w:after="240" w:afterAutospacing="0" w:line="360" w:lineRule="auto"/>
        <w:jc w:val="both"/>
        <w:rPr>
          <w:rFonts w:ascii="Arial" w:hAnsi="Arial" w:cs="Arial"/>
        </w:rPr>
      </w:pPr>
      <w:r w:rsidRPr="00B70ACB">
        <w:rPr>
          <w:rFonts w:ascii="Arial" w:hAnsi="Arial" w:cs="Arial"/>
        </w:rPr>
        <w:t xml:space="preserve">W tej perspektywie niektórzy eksperci ds. inwestycji emerytalnych argumentowali, że „same Chiny odpowiadają za ponad 70% łącznego wzrostu PKB wygenerowanego przez kraje BRIC [od 1999 do 2010 r.]: jeśli istnieje cud BRIC, to jest to przede wszystkim cud chiński”. „Luka wzrostu” między Chinami a innymi dużymi gospodarkami wschodzącymi, takimi jak Brazylia, Rosja i Indie, może być w dużej mierze przypisana wczesnemu skupieniu Chin na ambitnych projektach infrastrukturalnych: podczas gdy Chiny inwestowały około 9% swojego PKB w infrastrukturę w latach 90. i 2000., większość gospodarek wschodzących inwestowała tylko od 2% do 5% swojego PKB. </w:t>
      </w:r>
    </w:p>
    <w:p w:rsidR="00B70ACB" w:rsidRPr="00B70ACB" w:rsidRDefault="00B70ACB" w:rsidP="00012E60">
      <w:pPr>
        <w:pStyle w:val="NormalnyWeb"/>
        <w:shd w:val="clear" w:color="auto" w:fill="FFFFFF"/>
        <w:spacing w:before="120" w:beforeAutospacing="0" w:after="240" w:afterAutospacing="0" w:line="360" w:lineRule="auto"/>
        <w:jc w:val="both"/>
        <w:rPr>
          <w:rFonts w:ascii="Arial" w:hAnsi="Arial" w:cs="Arial"/>
        </w:rPr>
      </w:pPr>
      <w:r w:rsidRPr="00B70ACB">
        <w:rPr>
          <w:rFonts w:ascii="Arial" w:hAnsi="Arial" w:cs="Arial"/>
        </w:rPr>
        <w:t>Ta znaczna luka w wydatkach pozwoliła chińskiej gospodarce rozwijać się w warunkach zbliżonych do optymalnych, podczas gdy wiele gospodarek Ameryki Południowej i Azji Południowej cierpiało z powodu różnych wąskich gardeł rozwojowych (słaby transport, starzejące się sieci energetyczne, przeciętne szkoły). W 2024 roku sam </w:t>
      </w:r>
      <w:hyperlink r:id="rId70" w:tooltip="Jim O'Neill, Baron O'Neill z Gatley" w:history="1">
        <w:r w:rsidRPr="00B70ACB">
          <w:rPr>
            <w:rStyle w:val="Hipercze"/>
            <w:rFonts w:ascii="Arial" w:hAnsi="Arial" w:cs="Arial"/>
            <w:color w:val="auto"/>
            <w:u w:val="none"/>
          </w:rPr>
          <w:t>Jim O'Neill</w:t>
        </w:r>
      </w:hyperlink>
      <w:r w:rsidRPr="00B70ACB">
        <w:rPr>
          <w:rFonts w:ascii="Arial" w:hAnsi="Arial" w:cs="Arial"/>
        </w:rPr>
        <w:t> , odnosząc się do </w:t>
      </w:r>
      <w:hyperlink r:id="rId71" w:tooltip="BRICS" w:history="1">
        <w:r w:rsidRPr="00B70ACB">
          <w:rPr>
            <w:rStyle w:val="Hipercze"/>
            <w:rFonts w:ascii="Arial" w:hAnsi="Arial" w:cs="Arial"/>
            <w:color w:val="auto"/>
            <w:u w:val="none"/>
          </w:rPr>
          <w:t>organizacji BRICS</w:t>
        </w:r>
      </w:hyperlink>
      <w:r w:rsidRPr="00B70ACB">
        <w:rPr>
          <w:rFonts w:ascii="Arial" w:hAnsi="Arial" w:cs="Arial"/>
        </w:rPr>
        <w:t> , powiedział, że „bez obecności Chin nie sądzę, aby grupa BRICS miała jakiekolwiek rzeczywiste znaczenie” ze względu na wpływy i siłę kraju w porównaniu z innymi członkami. </w:t>
      </w:r>
    </w:p>
    <w:p w:rsidR="00DA63BB" w:rsidRPr="00DA63BB" w:rsidRDefault="00B70ACB" w:rsidP="00012E60">
      <w:pPr>
        <w:pStyle w:val="NormalnyWeb"/>
        <w:shd w:val="clear" w:color="auto" w:fill="FFFFFF"/>
        <w:spacing w:before="120" w:beforeAutospacing="0" w:after="240" w:afterAutospacing="0" w:line="360" w:lineRule="auto"/>
        <w:jc w:val="both"/>
        <w:rPr>
          <w:rFonts w:ascii="Arial" w:hAnsi="Arial" w:cs="Arial"/>
          <w:sz w:val="19"/>
          <w:szCs w:val="19"/>
          <w:vertAlign w:val="superscript"/>
        </w:rPr>
      </w:pPr>
      <w:r w:rsidRPr="00DA63BB">
        <w:rPr>
          <w:rFonts w:ascii="Arial" w:hAnsi="Arial" w:cs="Arial"/>
        </w:rPr>
        <w:lastRenderedPageBreak/>
        <w:t>Inni krytycy sugerują, że BRIC to nic więcej niż zgrabny akronim czterech największych gospodarek rynków wschodzących, ale pod względem ekonomicznym i politycznym nic innego nie łączy tych czterech (poza faktem, że wszystkie są dużymi rynkami wschodzącymi). Podczas gdy Chiny i Indie są gospodarkami opartymi na produkcji i polegają na imporcie, Brazylia i Rosja są dużymi eksporterami zasobów naturalnych.</w:t>
      </w:r>
      <w:r w:rsidRPr="00DA63BB">
        <w:rPr>
          <w:rFonts w:ascii="Arial" w:hAnsi="Arial" w:cs="Arial"/>
          <w:sz w:val="19"/>
          <w:szCs w:val="19"/>
          <w:vertAlign w:val="superscript"/>
        </w:rPr>
        <w:t> </w:t>
      </w:r>
    </w:p>
    <w:p w:rsidR="00DA63BB" w:rsidRPr="00DA63BB" w:rsidRDefault="00B70ACB" w:rsidP="00012E60">
      <w:pPr>
        <w:pStyle w:val="NormalnyWeb"/>
        <w:shd w:val="clear" w:color="auto" w:fill="FFFFFF"/>
        <w:spacing w:before="120" w:beforeAutospacing="0" w:after="240" w:afterAutospacing="0" w:line="360" w:lineRule="auto"/>
        <w:jc w:val="both"/>
        <w:rPr>
          <w:rFonts w:ascii="Arial" w:hAnsi="Arial" w:cs="Arial"/>
          <w:sz w:val="19"/>
          <w:szCs w:val="19"/>
          <w:vertAlign w:val="superscript"/>
        </w:rPr>
      </w:pPr>
      <w:hyperlink r:id="rId72" w:tooltip="Ekonomista" w:history="1">
        <w:r w:rsidRPr="00DA63BB">
          <w:rPr>
            <w:rStyle w:val="Hipercze"/>
            <w:rFonts w:ascii="Arial" w:hAnsi="Arial" w:cs="Arial"/>
            <w:i/>
            <w:iCs/>
            <w:color w:val="auto"/>
          </w:rPr>
          <w:t xml:space="preserve">The </w:t>
        </w:r>
        <w:proofErr w:type="spellStart"/>
        <w:r w:rsidRPr="00DA63BB">
          <w:rPr>
            <w:rStyle w:val="Hipercze"/>
            <w:rFonts w:ascii="Arial" w:hAnsi="Arial" w:cs="Arial"/>
            <w:i/>
            <w:iCs/>
            <w:color w:val="auto"/>
          </w:rPr>
          <w:t>Economist</w:t>
        </w:r>
        <w:proofErr w:type="spellEnd"/>
      </w:hyperlink>
      <w:r w:rsidRPr="00DA63BB">
        <w:rPr>
          <w:rFonts w:ascii="Arial" w:hAnsi="Arial" w:cs="Arial"/>
        </w:rPr>
        <w:t> w specjalnym raporcie na temat Brazylii wyraził następujący pogląd: „Pod pewnymi względami Brazylia jest najstabilniejszym z BRIC. W przeciwieństwie do Chin i Rosji jest pełnokrwistą demokracją; w przeciwieństwie do Indii nie ma poważnych sporów z sąsiadami. Jest to jedyny BRIC bez bomby atomowej”. </w:t>
      </w:r>
      <w:r w:rsidRPr="00DA63BB">
        <w:rPr>
          <w:rFonts w:ascii="Arial" w:hAnsi="Arial" w:cs="Arial"/>
          <w:sz w:val="19"/>
          <w:szCs w:val="19"/>
          <w:vertAlign w:val="superscript"/>
        </w:rPr>
        <w:t> </w:t>
      </w:r>
    </w:p>
    <w:p w:rsidR="00DA63BB" w:rsidRPr="00DA63BB" w:rsidRDefault="00B70ACB" w:rsidP="00012E60">
      <w:pPr>
        <w:pStyle w:val="NormalnyWeb"/>
        <w:shd w:val="clear" w:color="auto" w:fill="FFFFFF"/>
        <w:spacing w:before="120" w:beforeAutospacing="0" w:after="240" w:afterAutospacing="0" w:line="360" w:lineRule="auto"/>
        <w:jc w:val="both"/>
        <w:rPr>
          <w:rFonts w:ascii="Arial" w:hAnsi="Arial" w:cs="Arial"/>
        </w:rPr>
      </w:pPr>
      <w:hyperlink r:id="rId73" w:tooltip="Wskaźniki wolności gospodarczej" w:history="1">
        <w:r w:rsidRPr="00DA63BB">
          <w:rPr>
            <w:rStyle w:val="Hipercze"/>
            <w:rFonts w:ascii="Arial" w:hAnsi="Arial" w:cs="Arial"/>
            <w:i/>
            <w:iCs/>
            <w:color w:val="auto"/>
          </w:rPr>
          <w:t>Indeksy wolności gospodarczej</w:t>
        </w:r>
      </w:hyperlink>
      <w:hyperlink r:id="rId74" w:tooltip="Fundacja Dziedzictwa" w:history="1">
        <w:r w:rsidRPr="00DA63BB">
          <w:rPr>
            <w:rStyle w:val="Hipercze"/>
            <w:rFonts w:ascii="Arial" w:hAnsi="Arial" w:cs="Arial"/>
            <w:color w:val="auto"/>
          </w:rPr>
          <w:t> </w:t>
        </w:r>
        <w:proofErr w:type="spellStart"/>
        <w:r w:rsidRPr="00DA63BB">
          <w:rPr>
            <w:rStyle w:val="Hipercze"/>
            <w:rFonts w:ascii="Arial" w:hAnsi="Arial" w:cs="Arial"/>
            <w:color w:val="auto"/>
          </w:rPr>
          <w:t>Heritage</w:t>
        </w:r>
        <w:proofErr w:type="spellEnd"/>
        <w:r w:rsidRPr="00DA63BB">
          <w:rPr>
            <w:rStyle w:val="Hipercze"/>
            <w:rFonts w:ascii="Arial" w:hAnsi="Arial" w:cs="Arial"/>
            <w:color w:val="auto"/>
          </w:rPr>
          <w:t xml:space="preserve"> Foundation</w:t>
        </w:r>
      </w:hyperlink>
      <w:r w:rsidRPr="00DA63BB">
        <w:rPr>
          <w:rFonts w:ascii="Arial" w:hAnsi="Arial" w:cs="Arial"/>
        </w:rPr>
        <w:t> , które mierzą takie czynniki, jak ochrona praw własności i wolny handel, klasyfikują Brazylię jako „umiarkowanie wolną” wyżej niż inne BRIC, które są klasyfikowane jako „w większości niewolne”. </w:t>
      </w:r>
    </w:p>
    <w:p w:rsidR="00B70ACB" w:rsidRPr="00DA63BB" w:rsidRDefault="00B70ACB" w:rsidP="00012E60">
      <w:pPr>
        <w:pStyle w:val="NormalnyWeb"/>
        <w:shd w:val="clear" w:color="auto" w:fill="FFFFFF"/>
        <w:spacing w:before="120" w:beforeAutospacing="0" w:after="240" w:afterAutospacing="0" w:line="360" w:lineRule="auto"/>
        <w:jc w:val="both"/>
        <w:rPr>
          <w:rFonts w:ascii="Arial" w:hAnsi="Arial" w:cs="Arial"/>
        </w:rPr>
      </w:pPr>
      <w:hyperlink r:id="rId75" w:tooltip="Henry Kissinger" w:history="1">
        <w:r w:rsidRPr="00DA63BB">
          <w:rPr>
            <w:rStyle w:val="Hipercze"/>
            <w:rFonts w:ascii="Arial" w:hAnsi="Arial" w:cs="Arial"/>
            <w:color w:val="auto"/>
          </w:rPr>
          <w:t> Henry Kissinger</w:t>
        </w:r>
      </w:hyperlink>
      <w:r w:rsidRPr="00DA63BB">
        <w:rPr>
          <w:rFonts w:ascii="Arial" w:hAnsi="Arial" w:cs="Arial"/>
        </w:rPr>
        <w:t> stwierdził, że państwa BRIC nie mają szans na wspólne działanie jako spójny blok w sprawach światowych i że wszelka współpraca będzie wynikiem sił oddziałujących na poszczególne państwa. </w:t>
      </w:r>
    </w:p>
    <w:p w:rsidR="00B70ACB" w:rsidRPr="00DA63BB" w:rsidRDefault="00B70ACB" w:rsidP="00012E60">
      <w:pPr>
        <w:pStyle w:val="NormalnyWeb"/>
        <w:shd w:val="clear" w:color="auto" w:fill="FFFFFF"/>
        <w:spacing w:before="120" w:beforeAutospacing="0" w:after="240" w:afterAutospacing="0" w:line="360" w:lineRule="auto"/>
        <w:jc w:val="both"/>
        <w:rPr>
          <w:rFonts w:ascii="Arial" w:hAnsi="Arial" w:cs="Arial"/>
        </w:rPr>
      </w:pPr>
      <w:r w:rsidRPr="00DA63BB">
        <w:rPr>
          <w:rFonts w:ascii="Arial" w:hAnsi="Arial" w:cs="Arial"/>
        </w:rPr>
        <w:t>W niezbyt subtelnej krytyce tego terminu, jako nic więcej niż skrótu dla rynków wschodzących w ogóle, krytycy zasugerowali pokrewny termin, CEMENT ( Kraje na rynkach wschodzących </w:t>
      </w:r>
      <w:r w:rsidRPr="00DA63BB">
        <w:rPr>
          <w:rFonts w:ascii="Arial" w:hAnsi="Arial" w:cs="Arial"/>
          <w:i/>
          <w:iCs/>
        </w:rPr>
        <w:t>wykluczone</w:t>
      </w:r>
      <w:r w:rsidRPr="00DA63BB">
        <w:rPr>
          <w:rFonts w:ascii="Arial" w:hAnsi="Arial" w:cs="Arial"/>
        </w:rPr>
        <w:t> przez </w:t>
      </w:r>
      <w:r w:rsidRPr="00DA63BB">
        <w:rPr>
          <w:rFonts w:ascii="Arial" w:hAnsi="Arial" w:cs="Arial"/>
          <w:i/>
          <w:iCs/>
        </w:rPr>
        <w:t>Nową Terminologię )</w:t>
      </w:r>
      <w:r w:rsidRPr="00DA63BB">
        <w:rPr>
          <w:rFonts w:ascii="Arial" w:hAnsi="Arial" w:cs="Arial"/>
        </w:rPr>
        <w:t> . </w:t>
      </w:r>
      <w:r w:rsidRPr="00DA63BB">
        <w:rPr>
          <w:rFonts w:ascii="Arial" w:hAnsi="Arial" w:cs="Arial"/>
          <w:i/>
          <w:iCs/>
        </w:rPr>
        <w:t>Chociaż przyznają</w:t>
      </w:r>
      <w:r w:rsidRPr="00DA63BB">
        <w:rPr>
          <w:rFonts w:ascii="Arial" w:hAnsi="Arial" w:cs="Arial"/>
        </w:rPr>
        <w:t> , że nastąpił spektakularny wzrost gospodarek BRIC, te zyski były</w:t>
      </w:r>
      <w:r w:rsidR="00DA63BB">
        <w:rPr>
          <w:rFonts w:ascii="Arial" w:hAnsi="Arial" w:cs="Arial"/>
        </w:rPr>
        <w:t xml:space="preserve"> w</w:t>
      </w:r>
      <w:r w:rsidRPr="00DA63BB">
        <w:rPr>
          <w:rFonts w:ascii="Arial" w:hAnsi="Arial" w:cs="Arial"/>
        </w:rPr>
        <w:t> dużej mierze wynikiem siły rynków wschodzących w ogóle, a ta siła wynika z posiadania BRIC i CEMENT. </w:t>
      </w:r>
      <w:r w:rsidR="00DA63BB" w:rsidRPr="00DA63BB">
        <w:rPr>
          <w:rFonts w:ascii="Arial" w:hAnsi="Arial" w:cs="Arial"/>
        </w:rPr>
        <w:t xml:space="preserve"> </w:t>
      </w:r>
    </w:p>
    <w:p w:rsidR="00DD0965" w:rsidRDefault="00DD0965">
      <w:pPr>
        <w:rPr>
          <w:rFonts w:ascii="Arial" w:eastAsiaTheme="majorEastAsia" w:hAnsi="Arial" w:cs="Arial"/>
          <w:b/>
          <w:sz w:val="24"/>
          <w:szCs w:val="24"/>
        </w:rPr>
      </w:pPr>
      <w:r>
        <w:rPr>
          <w:rFonts w:ascii="Arial" w:hAnsi="Arial" w:cs="Arial"/>
          <w:b/>
        </w:rPr>
        <w:br w:type="page"/>
      </w:r>
    </w:p>
    <w:p w:rsidR="00DD0965" w:rsidRPr="00DD0965" w:rsidRDefault="00DD0965" w:rsidP="00DD0965">
      <w:pPr>
        <w:pStyle w:val="Nagwek3"/>
        <w:shd w:val="clear" w:color="auto" w:fill="FFFFFF"/>
        <w:spacing w:before="0" w:after="60"/>
        <w:jc w:val="both"/>
        <w:rPr>
          <w:rFonts w:ascii="Arial" w:hAnsi="Arial" w:cs="Arial"/>
          <w:b/>
          <w:color w:val="auto"/>
        </w:rPr>
      </w:pPr>
      <w:r w:rsidRPr="00DD0965">
        <w:rPr>
          <w:rFonts w:ascii="Arial" w:hAnsi="Arial" w:cs="Arial"/>
          <w:b/>
          <w:color w:val="auto"/>
        </w:rPr>
        <w:lastRenderedPageBreak/>
        <w:t>Sprawozdanie uzupełniające (2004)</w:t>
      </w:r>
    </w:p>
    <w:p w:rsidR="00DD0965" w:rsidRPr="000547CE" w:rsidRDefault="00DD0965" w:rsidP="000547CE">
      <w:pPr>
        <w:pStyle w:val="NormalnyWeb"/>
        <w:shd w:val="clear" w:color="auto" w:fill="FFFFFF"/>
        <w:spacing w:before="120" w:beforeAutospacing="0" w:after="240" w:afterAutospacing="0" w:line="360" w:lineRule="auto"/>
        <w:jc w:val="both"/>
        <w:rPr>
          <w:rFonts w:ascii="Arial" w:hAnsi="Arial" w:cs="Arial"/>
        </w:rPr>
      </w:pPr>
      <w:r w:rsidRPr="000547CE">
        <w:rPr>
          <w:rFonts w:ascii="Arial" w:hAnsi="Arial" w:cs="Arial"/>
        </w:rPr>
        <w:t xml:space="preserve">Zespół ekonomistów Goldman </w:t>
      </w:r>
      <w:proofErr w:type="spellStart"/>
      <w:r w:rsidRPr="000547CE">
        <w:rPr>
          <w:rFonts w:ascii="Arial" w:hAnsi="Arial" w:cs="Arial"/>
        </w:rPr>
        <w:t>Sachs</w:t>
      </w:r>
      <w:proofErr w:type="spellEnd"/>
      <w:r w:rsidRPr="000547CE">
        <w:rPr>
          <w:rFonts w:ascii="Arial" w:hAnsi="Arial" w:cs="Arial"/>
        </w:rPr>
        <w:t xml:space="preserve"> opublikował raport uzupełniający do swojego wstępnego badania BRIC w 2004 r. Raport stwierdza, że ​​w krajach BRIC liczba osób z rocznym dochodem powyżej progu 3000 USD podwoi się w ciągu trzech lat i osiągnie 800 milionów osób w ciągu dekady. Przewiduje to ogromny wzrost liczebności klasy średniej w tych krajach. Raport zawiera również obliczenia, że ​​w 2025 r. liczba osób w krajach BRIC zarabiających ponad 15 000 USD osiągnie ponad 200 milionów osób. Wskazuje to, że ogromny wzrost popytu nie będzie ograniczony do podstawowych dóbr, ale wpłynie również na droższe dobra. Zgodnie z raportem najpierw Chiny, a następnie dekadę później Indie zaczną dominować w światowej gospodarce. Zauważono jednak, że pomimo zdecydowanego przechylenia równowagi przyszłego wzrostu na korzyść gospodarek BRIC, średni poziom życia osób w </w:t>
      </w:r>
      <w:hyperlink r:id="rId76" w:tooltip="Gospodarki zaawansowane" w:history="1">
        <w:r w:rsidRPr="000547CE">
          <w:rPr>
            <w:rStyle w:val="Hipercze"/>
            <w:rFonts w:ascii="Arial" w:hAnsi="Arial" w:cs="Arial"/>
            <w:color w:val="auto"/>
            <w:u w:val="none"/>
          </w:rPr>
          <w:t>gospodarkach bardziej rozwiniętych</w:t>
        </w:r>
      </w:hyperlink>
      <w:r w:rsidRPr="000547CE">
        <w:rPr>
          <w:rFonts w:ascii="Arial" w:hAnsi="Arial" w:cs="Arial"/>
        </w:rPr>
        <w:t xml:space="preserve"> będzie nadal znacznie przewyższał średnią gospodarczą BRIC w dającej się przewidzieć przyszłości.  </w:t>
      </w:r>
    </w:p>
    <w:p w:rsidR="00DD0965" w:rsidRDefault="00DD0965" w:rsidP="000547CE">
      <w:pPr>
        <w:pStyle w:val="NormalnyWeb"/>
        <w:shd w:val="clear" w:color="auto" w:fill="FFFFFF"/>
        <w:spacing w:before="120" w:beforeAutospacing="0" w:after="240" w:afterAutospacing="0" w:line="360" w:lineRule="auto"/>
        <w:jc w:val="both"/>
        <w:rPr>
          <w:rFonts w:ascii="Arial" w:hAnsi="Arial" w:cs="Arial"/>
        </w:rPr>
      </w:pPr>
      <w:r w:rsidRPr="000547CE">
        <w:rPr>
          <w:rFonts w:ascii="Arial" w:hAnsi="Arial" w:cs="Arial"/>
        </w:rPr>
        <w:t>Raport podkreśla również nieefektywne </w:t>
      </w:r>
      <w:hyperlink r:id="rId77" w:tooltip="Polityka energetyczna Indii" w:history="1">
        <w:r w:rsidRPr="000547CE">
          <w:rPr>
            <w:rStyle w:val="Hipercze"/>
            <w:rFonts w:ascii="Arial" w:hAnsi="Arial" w:cs="Arial"/>
            <w:color w:val="auto"/>
            <w:u w:val="none"/>
          </w:rPr>
          <w:t>zużycie energii</w:t>
        </w:r>
      </w:hyperlink>
      <w:r w:rsidRPr="000547CE">
        <w:rPr>
          <w:rFonts w:ascii="Arial" w:hAnsi="Arial" w:cs="Arial"/>
        </w:rPr>
        <w:t xml:space="preserve"> w Indiach w tamtym czasie, a także drastyczne </w:t>
      </w:r>
      <w:proofErr w:type="spellStart"/>
      <w:r w:rsidRPr="000547CE">
        <w:rPr>
          <w:rFonts w:ascii="Arial" w:hAnsi="Arial" w:cs="Arial"/>
        </w:rPr>
        <w:t>niedoreprezentowanie</w:t>
      </w:r>
      <w:proofErr w:type="spellEnd"/>
      <w:r w:rsidRPr="000547CE">
        <w:rPr>
          <w:rFonts w:ascii="Arial" w:hAnsi="Arial" w:cs="Arial"/>
        </w:rPr>
        <w:t xml:space="preserve"> tych gospodarek na globalnych </w:t>
      </w:r>
      <w:hyperlink r:id="rId78" w:tooltip="Rynek kapitałowy" w:history="1">
        <w:r w:rsidRPr="000547CE">
          <w:rPr>
            <w:rStyle w:val="Hipercze"/>
            <w:rFonts w:ascii="Arial" w:hAnsi="Arial" w:cs="Arial"/>
            <w:color w:val="auto"/>
            <w:u w:val="none"/>
          </w:rPr>
          <w:t>rynkach kapitałowych</w:t>
        </w:r>
      </w:hyperlink>
      <w:r w:rsidRPr="000547CE">
        <w:rPr>
          <w:rFonts w:ascii="Arial" w:hAnsi="Arial" w:cs="Arial"/>
        </w:rPr>
        <w:t> . Raport podkreśla również ogromną populację, która istnieje w krajach BRIC, co sprawia, że ​​ich łączne bogactwo stosunkowo łatwo przyćmiewa </w:t>
      </w:r>
      <w:hyperlink r:id="rId79" w:tooltip="Grupa Sześciu" w:history="1">
        <w:r w:rsidRPr="000547CE">
          <w:rPr>
            <w:rStyle w:val="Hipercze"/>
            <w:rFonts w:ascii="Arial" w:hAnsi="Arial" w:cs="Arial"/>
            <w:color w:val="auto"/>
            <w:u w:val="none"/>
          </w:rPr>
          <w:t>G6</w:t>
        </w:r>
      </w:hyperlink>
      <w:r w:rsidRPr="000547CE">
        <w:rPr>
          <w:rFonts w:ascii="Arial" w:hAnsi="Arial" w:cs="Arial"/>
        </w:rPr>
        <w:t> , podczas gdy poziom dochodu na mieszkańca pozostaje znacznie poniżej normy dzisiejszych krajów uprzemysłowionych. To zjawisko również wpłynie na rynki światowe, ponieważ korporacje wielonarodowe będą próbowały wykorzystać ogromny potencjał rynków w krajach BRIC. Będzie to widoczne na rynkach samochodowych i innych dóbr przemysłowych, ponieważ firmy będą produkować znacznie tańsze towary, na które stać konsumentów w gospodarkach BRIC, zamiast luksusowych modeli, które tradycyjnie mogą przynosić największe dochody. Raport podaje Indie i Chiny jako przykłady krajów, które już zaczęły zaznaczać swoją obecność odpowiednio w sektorze usług i produkcji na arenie globalnej, a rozwinięte gospodarki już to zauważają. </w:t>
      </w:r>
    </w:p>
    <w:p w:rsidR="000547CE" w:rsidRDefault="000547CE">
      <w:pPr>
        <w:rPr>
          <w:rFonts w:ascii="Arial" w:eastAsia="Times New Roman" w:hAnsi="Arial" w:cs="Arial"/>
          <w:color w:val="202122"/>
          <w:sz w:val="24"/>
          <w:szCs w:val="24"/>
          <w:lang w:eastAsia="pl-PL"/>
        </w:rPr>
      </w:pPr>
      <w:r>
        <w:rPr>
          <w:rFonts w:ascii="Arial" w:hAnsi="Arial" w:cs="Arial"/>
          <w:color w:val="202122"/>
        </w:rPr>
        <w:br w:type="page"/>
      </w:r>
    </w:p>
    <w:p w:rsidR="000547CE" w:rsidRPr="000547CE" w:rsidRDefault="000547CE" w:rsidP="000547CE">
      <w:pPr>
        <w:pStyle w:val="NormalnyWeb"/>
        <w:shd w:val="clear" w:color="auto" w:fill="FFFFFF"/>
        <w:spacing w:before="120" w:beforeAutospacing="0" w:after="240" w:afterAutospacing="0" w:line="360" w:lineRule="auto"/>
        <w:jc w:val="both"/>
        <w:rPr>
          <w:rFonts w:ascii="Arial" w:hAnsi="Arial" w:cs="Arial"/>
        </w:rPr>
      </w:pPr>
      <w:r w:rsidRPr="000547CE">
        <w:rPr>
          <w:rFonts w:ascii="Arial" w:hAnsi="Arial" w:cs="Arial"/>
        </w:rPr>
        <w:lastRenderedPageBreak/>
        <w:t>W artykule </w:t>
      </w:r>
      <w:hyperlink r:id="rId80" w:tooltip="Goldman Sachs" w:history="1">
        <w:r w:rsidRPr="000547CE">
          <w:rPr>
            <w:rStyle w:val="Hipercze"/>
            <w:rFonts w:ascii="Arial" w:hAnsi="Arial" w:cs="Arial"/>
            <w:color w:val="auto"/>
          </w:rPr>
          <w:t xml:space="preserve">Goldman </w:t>
        </w:r>
        <w:proofErr w:type="spellStart"/>
        <w:r w:rsidRPr="000547CE">
          <w:rPr>
            <w:rStyle w:val="Hipercze"/>
            <w:rFonts w:ascii="Arial" w:hAnsi="Arial" w:cs="Arial"/>
            <w:color w:val="auto"/>
          </w:rPr>
          <w:t>Sachs</w:t>
        </w:r>
        <w:proofErr w:type="spellEnd"/>
      </w:hyperlink>
      <w:r w:rsidRPr="000547CE">
        <w:rPr>
          <w:rFonts w:ascii="Arial" w:hAnsi="Arial" w:cs="Arial"/>
        </w:rPr>
        <w:t> opublikowanym w grudniu 2005 r. wyjaśniono, dlaczego Meksyk nie został uwzględniony w pierwotnych BRIC. </w:t>
      </w:r>
      <w:hyperlink r:id="rId81" w:tooltip="Ekonomista" w:history="1">
        <w:r w:rsidRPr="000547CE">
          <w:rPr>
            <w:rStyle w:val="Hipercze"/>
            <w:rFonts w:ascii="Arial" w:hAnsi="Arial" w:cs="Arial"/>
            <w:color w:val="auto"/>
          </w:rPr>
          <w:t xml:space="preserve">The </w:t>
        </w:r>
        <w:proofErr w:type="spellStart"/>
        <w:r w:rsidRPr="000547CE">
          <w:rPr>
            <w:rStyle w:val="Hipercze"/>
            <w:rFonts w:ascii="Arial" w:hAnsi="Arial" w:cs="Arial"/>
            <w:color w:val="auto"/>
          </w:rPr>
          <w:t>Economist</w:t>
        </w:r>
        <w:proofErr w:type="spellEnd"/>
      </w:hyperlink>
      <w:r w:rsidRPr="000547CE">
        <w:rPr>
          <w:rFonts w:ascii="Arial" w:hAnsi="Arial" w:cs="Arial"/>
        </w:rPr>
        <w:t xml:space="preserve"> publikuje coroczną tabelę statystyk społeczno-ekonomicznych w swoim „Pocket World in </w:t>
      </w:r>
      <w:proofErr w:type="spellStart"/>
      <w:r w:rsidRPr="000547CE">
        <w:rPr>
          <w:rFonts w:ascii="Arial" w:hAnsi="Arial" w:cs="Arial"/>
        </w:rPr>
        <w:t>Figures</w:t>
      </w:r>
      <w:proofErr w:type="spellEnd"/>
      <w:r w:rsidRPr="000547CE">
        <w:rPr>
          <w:rFonts w:ascii="Arial" w:hAnsi="Arial" w:cs="Arial"/>
        </w:rPr>
        <w:t>”. Ekstrapolacja globalnych rankingów z wydania z 2008 r. dla krajów i gospodarek BRIC w odniesieniu do różnych kategorii dostarcza interesującego punktu odniesienia w odniesieniu do podstaw ekonomicznych tezy BRIC. Ilustruje to również, jak pomimo rozbieżnych podstaw ekonomicznych wskaźniki ekonomiczne są zadziwiająco podobne w globalnych rankingach między różnymi gospodarkami. Sugeruje również, że podczas gdy można przedstawić argumenty ekonomiczne za powiązaniem Meksyku z tezą BRIC, przypadek uwzględnienia Korei Południowej wydaje się znacznie słabszy.</w:t>
      </w:r>
    </w:p>
    <w:p w:rsidR="000547CE" w:rsidRPr="000547CE" w:rsidRDefault="000547CE" w:rsidP="000547CE">
      <w:pPr>
        <w:pStyle w:val="NormalnyWeb"/>
        <w:shd w:val="clear" w:color="auto" w:fill="FFFFFF"/>
        <w:spacing w:before="120" w:beforeAutospacing="0" w:after="240" w:afterAutospacing="0" w:line="360" w:lineRule="auto"/>
        <w:jc w:val="both"/>
        <w:rPr>
          <w:rFonts w:ascii="Arial" w:hAnsi="Arial" w:cs="Arial"/>
        </w:rPr>
      </w:pPr>
    </w:p>
    <w:p w:rsidR="00DD0965" w:rsidRDefault="00DD0965">
      <w:pPr>
        <w:rPr>
          <w:rFonts w:ascii="Arial" w:eastAsiaTheme="majorEastAsia" w:hAnsi="Arial" w:cs="Arial"/>
          <w:b/>
          <w:sz w:val="24"/>
          <w:szCs w:val="24"/>
        </w:rPr>
      </w:pPr>
      <w:r>
        <w:rPr>
          <w:rFonts w:ascii="Arial" w:hAnsi="Arial" w:cs="Arial"/>
          <w:b/>
        </w:rPr>
        <w:br w:type="page"/>
      </w:r>
    </w:p>
    <w:p w:rsidR="00DD0965" w:rsidRPr="00DD0965" w:rsidRDefault="00DD0965" w:rsidP="00DD0965">
      <w:pPr>
        <w:pStyle w:val="Nagwek3"/>
        <w:shd w:val="clear" w:color="auto" w:fill="FFFFFF"/>
        <w:spacing w:before="0" w:after="60"/>
        <w:jc w:val="both"/>
        <w:rPr>
          <w:rFonts w:ascii="Arial" w:hAnsi="Arial" w:cs="Arial"/>
          <w:b/>
          <w:color w:val="auto"/>
        </w:rPr>
      </w:pPr>
      <w:r w:rsidRPr="00DD0965">
        <w:rPr>
          <w:rFonts w:ascii="Arial" w:hAnsi="Arial" w:cs="Arial"/>
          <w:b/>
          <w:color w:val="auto"/>
        </w:rPr>
        <w:lastRenderedPageBreak/>
        <w:t>„Rosnący potencjał wzrostu Indii” (2007)</w:t>
      </w:r>
    </w:p>
    <w:p w:rsidR="00DD0965" w:rsidRPr="000547CE" w:rsidRDefault="00DD0965" w:rsidP="000547CE">
      <w:pPr>
        <w:pStyle w:val="NormalnyWeb"/>
        <w:shd w:val="clear" w:color="auto" w:fill="FFFFFF"/>
        <w:spacing w:before="120" w:beforeAutospacing="0" w:after="240" w:afterAutospacing="0" w:line="360" w:lineRule="auto"/>
        <w:jc w:val="both"/>
        <w:rPr>
          <w:rFonts w:ascii="Arial" w:hAnsi="Arial" w:cs="Arial"/>
        </w:rPr>
      </w:pPr>
      <w:r w:rsidRPr="000547CE">
        <w:rPr>
          <w:rFonts w:ascii="Arial" w:hAnsi="Arial" w:cs="Arial"/>
        </w:rPr>
        <w:t xml:space="preserve">Drugi raport uzupełniający został opracowany przez głównych autorów </w:t>
      </w:r>
      <w:proofErr w:type="spellStart"/>
      <w:r w:rsidRPr="000547CE">
        <w:rPr>
          <w:rFonts w:ascii="Arial" w:hAnsi="Arial" w:cs="Arial"/>
        </w:rPr>
        <w:t>Tushara</w:t>
      </w:r>
      <w:proofErr w:type="spellEnd"/>
      <w:r w:rsidRPr="000547CE">
        <w:rPr>
          <w:rFonts w:ascii="Arial" w:hAnsi="Arial" w:cs="Arial"/>
        </w:rPr>
        <w:t xml:space="preserve"> </w:t>
      </w:r>
      <w:proofErr w:type="spellStart"/>
      <w:r w:rsidRPr="000547CE">
        <w:rPr>
          <w:rFonts w:ascii="Arial" w:hAnsi="Arial" w:cs="Arial"/>
        </w:rPr>
        <w:t>Poddara</w:t>
      </w:r>
      <w:proofErr w:type="spellEnd"/>
      <w:r w:rsidRPr="000547CE">
        <w:rPr>
          <w:rFonts w:ascii="Arial" w:hAnsi="Arial" w:cs="Arial"/>
        </w:rPr>
        <w:t xml:space="preserve"> i </w:t>
      </w:r>
      <w:proofErr w:type="spellStart"/>
      <w:r w:rsidRPr="000547CE">
        <w:rPr>
          <w:rFonts w:ascii="Arial" w:hAnsi="Arial" w:cs="Arial"/>
        </w:rPr>
        <w:t>Evę</w:t>
      </w:r>
      <w:proofErr w:type="spellEnd"/>
      <w:r w:rsidRPr="000547CE">
        <w:rPr>
          <w:rFonts w:ascii="Arial" w:hAnsi="Arial" w:cs="Arial"/>
        </w:rPr>
        <w:t xml:space="preserve"> </w:t>
      </w:r>
      <w:proofErr w:type="spellStart"/>
      <w:r w:rsidRPr="000547CE">
        <w:rPr>
          <w:rFonts w:ascii="Arial" w:hAnsi="Arial" w:cs="Arial"/>
        </w:rPr>
        <w:t>Yi</w:t>
      </w:r>
      <w:proofErr w:type="spellEnd"/>
      <w:r w:rsidRPr="000547CE">
        <w:rPr>
          <w:rFonts w:ascii="Arial" w:hAnsi="Arial" w:cs="Arial"/>
        </w:rPr>
        <w:t xml:space="preserve"> w styczniu 2007 r. Raport ujawnił zaktualizowane dane prognozowane przypisywane rosnącym trendom wzrostu w Indiach od 2003 r. Goldman </w:t>
      </w:r>
      <w:proofErr w:type="spellStart"/>
      <w:r w:rsidRPr="000547CE">
        <w:rPr>
          <w:rFonts w:ascii="Arial" w:hAnsi="Arial" w:cs="Arial"/>
        </w:rPr>
        <w:t>Sachs</w:t>
      </w:r>
      <w:proofErr w:type="spellEnd"/>
      <w:r w:rsidRPr="000547CE">
        <w:rPr>
          <w:rFonts w:ascii="Arial" w:hAnsi="Arial" w:cs="Arial"/>
        </w:rPr>
        <w:t xml:space="preserve"> twierdzi, że „wpływ Indii na gospodarkę światową będzie większy i szybszy, niż sugerowano w naszych wcześniej opublikowanych badaniach </w:t>
      </w:r>
      <w:proofErr w:type="spellStart"/>
      <w:r w:rsidRPr="000547CE">
        <w:rPr>
          <w:rFonts w:ascii="Arial" w:hAnsi="Arial" w:cs="Arial"/>
        </w:rPr>
        <w:t>BRICs</w:t>
      </w:r>
      <w:proofErr w:type="spellEnd"/>
      <w:r w:rsidRPr="000547CE">
        <w:rPr>
          <w:rFonts w:ascii="Arial" w:hAnsi="Arial" w:cs="Arial"/>
        </w:rPr>
        <w:t>”. Zauważyli znaczące obszary badań, rozwoju i ekspansji, które mają miejsce w kraju, co według raportu doprowadzi do dobrobytu rosnącej </w:t>
      </w:r>
      <w:hyperlink r:id="rId82" w:tooltip="Klasa średnia" w:history="1">
        <w:r w:rsidRPr="000547CE">
          <w:rPr>
            <w:rStyle w:val="Hipercze"/>
            <w:rFonts w:ascii="Arial" w:hAnsi="Arial" w:cs="Arial"/>
            <w:color w:val="auto"/>
            <w:u w:val="none"/>
          </w:rPr>
          <w:t>klasy średniej</w:t>
        </w:r>
      </w:hyperlink>
      <w:r w:rsidRPr="000547CE">
        <w:rPr>
          <w:rFonts w:ascii="Arial" w:hAnsi="Arial" w:cs="Arial"/>
        </w:rPr>
        <w:t xml:space="preserve"> . Demograficznie Indie miały wówczas 10 z 30 najszybciej rozwijających się obszarów miejskich na świecie. Na podstawie ówczesnych trendów szacuje się, że do 2050 r. 700 milionów Hindusów przeprowadzi się do miast. Taka zmiana demograficzna miałaby znaczące implikacje dla popytu na infrastrukturę miejską, nieruchomości i usługi.  </w:t>
      </w:r>
    </w:p>
    <w:p w:rsidR="00DD0965" w:rsidRPr="000547CE" w:rsidRDefault="00DD0965" w:rsidP="000547CE">
      <w:pPr>
        <w:pStyle w:val="NormalnyWeb"/>
        <w:shd w:val="clear" w:color="auto" w:fill="FFFFFF"/>
        <w:spacing w:before="120" w:beforeAutospacing="0" w:after="240" w:afterAutospacing="0" w:line="360" w:lineRule="auto"/>
        <w:jc w:val="both"/>
        <w:rPr>
          <w:rFonts w:ascii="Arial" w:hAnsi="Arial" w:cs="Arial"/>
        </w:rPr>
      </w:pPr>
      <w:r w:rsidRPr="000547CE">
        <w:rPr>
          <w:rFonts w:ascii="Arial" w:hAnsi="Arial" w:cs="Arial"/>
        </w:rPr>
        <w:t xml:space="preserve">W skorygowanych danych z 2007 r., opartych na zwiększonym i utrzymującym się wzroście, większym napływie zagranicznych inwestycji bezpośrednich, Goldman </w:t>
      </w:r>
      <w:proofErr w:type="spellStart"/>
      <w:r w:rsidRPr="000547CE">
        <w:rPr>
          <w:rFonts w:ascii="Arial" w:hAnsi="Arial" w:cs="Arial"/>
        </w:rPr>
        <w:t>Sachs</w:t>
      </w:r>
      <w:proofErr w:type="spellEnd"/>
      <w:r w:rsidRPr="000547CE">
        <w:rPr>
          <w:rFonts w:ascii="Arial" w:hAnsi="Arial" w:cs="Arial"/>
        </w:rPr>
        <w:t xml:space="preserve"> przewiduje, że „od 2007 do 2020 r. PKB Indii na mieszkańca w dolarach amerykańskich wzrośnie czterokrotnie”, a gospodarka indyjska prześcignie Stany </w:t>
      </w:r>
      <w:hyperlink r:id="rId83" w:tooltip="Stany Zjednoczone" w:history="1">
        <w:r w:rsidRPr="000547CE">
          <w:rPr>
            <w:rStyle w:val="Hipercze"/>
            <w:rFonts w:ascii="Arial" w:hAnsi="Arial" w:cs="Arial"/>
            <w:color w:val="auto"/>
            <w:u w:val="none"/>
          </w:rPr>
          <w:t>Zjednoczone</w:t>
        </w:r>
      </w:hyperlink>
      <w:r w:rsidRPr="000547CE">
        <w:rPr>
          <w:rFonts w:ascii="Arial" w:hAnsi="Arial" w:cs="Arial"/>
        </w:rPr>
        <w:t> (w dolarach amerykańskich) do 2043 r. Jednocześnie raport wskazał, że Rosja, kontynuując dominację na </w:t>
      </w:r>
      <w:hyperlink r:id="rId84" w:tooltip="Polityka energetyczna Unii Europejskiej" w:history="1">
        <w:r w:rsidRPr="000547CE">
          <w:rPr>
            <w:rStyle w:val="Hipercze"/>
            <w:rFonts w:ascii="Arial" w:hAnsi="Arial" w:cs="Arial"/>
            <w:color w:val="auto"/>
            <w:u w:val="none"/>
          </w:rPr>
          <w:t>europejskim rynku energii</w:t>
        </w:r>
      </w:hyperlink>
      <w:r w:rsidRPr="000547CE">
        <w:rPr>
          <w:rFonts w:ascii="Arial" w:hAnsi="Arial" w:cs="Arial"/>
        </w:rPr>
        <w:t xml:space="preserve"> , będzie nadal zmagać się z problemami gospodarczymi, ponieważ jej populacja będzie się zmniejszać.  </w:t>
      </w:r>
    </w:p>
    <w:p w:rsidR="00DD0965" w:rsidRDefault="00DD0965">
      <w:pPr>
        <w:rPr>
          <w:rFonts w:ascii="Arial" w:eastAsiaTheme="majorEastAsia" w:hAnsi="Arial" w:cs="Arial"/>
          <w:b/>
          <w:sz w:val="24"/>
          <w:szCs w:val="24"/>
        </w:rPr>
      </w:pPr>
      <w:r>
        <w:rPr>
          <w:rFonts w:ascii="Arial" w:hAnsi="Arial" w:cs="Arial"/>
          <w:b/>
        </w:rPr>
        <w:br w:type="page"/>
      </w:r>
    </w:p>
    <w:p w:rsidR="00DD0965" w:rsidRPr="00DD0965" w:rsidRDefault="00DD0965" w:rsidP="00DD0965">
      <w:pPr>
        <w:pStyle w:val="Nagwek3"/>
        <w:shd w:val="clear" w:color="auto" w:fill="FFFFFF"/>
        <w:spacing w:before="0" w:after="60"/>
        <w:jc w:val="both"/>
        <w:rPr>
          <w:rFonts w:ascii="Arial" w:hAnsi="Arial" w:cs="Arial"/>
          <w:b/>
          <w:color w:val="auto"/>
        </w:rPr>
      </w:pPr>
      <w:r w:rsidRPr="00DD0965">
        <w:rPr>
          <w:rFonts w:ascii="Arial" w:hAnsi="Arial" w:cs="Arial"/>
          <w:b/>
          <w:color w:val="auto"/>
        </w:rPr>
        <w:lastRenderedPageBreak/>
        <w:t>„Akcje rynków wschodzących w ciągu dwóch dekad: zmieniający się krajobraz” (2010)</w:t>
      </w:r>
    </w:p>
    <w:p w:rsidR="00DD0965" w:rsidRPr="000547CE" w:rsidRDefault="00DD0965" w:rsidP="000547CE">
      <w:pPr>
        <w:pStyle w:val="NormalnyWeb"/>
        <w:shd w:val="clear" w:color="auto" w:fill="FFFFFF"/>
        <w:spacing w:before="120" w:beforeAutospacing="0" w:after="240" w:afterAutospacing="0" w:line="360" w:lineRule="auto"/>
        <w:jc w:val="both"/>
        <w:rPr>
          <w:rFonts w:ascii="Arial" w:hAnsi="Arial" w:cs="Arial"/>
        </w:rPr>
      </w:pPr>
      <w:r w:rsidRPr="000547CE">
        <w:rPr>
          <w:rFonts w:ascii="Arial" w:hAnsi="Arial" w:cs="Arial"/>
        </w:rPr>
        <w:t xml:space="preserve">Według raportu Goldman </w:t>
      </w:r>
      <w:proofErr w:type="spellStart"/>
      <w:r w:rsidRPr="000547CE">
        <w:rPr>
          <w:rFonts w:ascii="Arial" w:hAnsi="Arial" w:cs="Arial"/>
        </w:rPr>
        <w:t>Sachs</w:t>
      </w:r>
      <w:proofErr w:type="spellEnd"/>
      <w:r w:rsidRPr="000547CE">
        <w:rPr>
          <w:rFonts w:ascii="Arial" w:hAnsi="Arial" w:cs="Arial"/>
        </w:rPr>
        <w:t xml:space="preserve"> z 2010 r. Chiny mogą prześcignąć Stany Zjednoczone pod względem kapitalizacji rynku akcji do 2030 r. i stać się największym rynkiem akcji na świecie. Do 2020 r. PKB Ameryki może być tylko nieznacznie większe od </w:t>
      </w:r>
      <w:hyperlink r:id="rId85" w:anchor="Current_status" w:tooltip="Historyczne PKB Chińskiej Republiki Ludowej" w:history="1">
        <w:r w:rsidRPr="000547CE">
          <w:rPr>
            <w:rStyle w:val="Hipercze"/>
            <w:rFonts w:ascii="Arial" w:hAnsi="Arial" w:cs="Arial"/>
            <w:color w:val="auto"/>
            <w:u w:val="none"/>
          </w:rPr>
          <w:t>PKB Chin</w:t>
        </w:r>
      </w:hyperlink>
      <w:r w:rsidRPr="000547CE">
        <w:rPr>
          <w:rFonts w:ascii="Arial" w:hAnsi="Arial" w:cs="Arial"/>
        </w:rPr>
        <w:t xml:space="preserve"> . Łącznie cztery kraje BRIC mogą odpowiadać za 41% światowej kapitalizacji rynkowej do 2030 r., podano w raporcie.  </w:t>
      </w:r>
    </w:p>
    <w:p w:rsidR="00DD0965" w:rsidRDefault="00DD0965">
      <w:pPr>
        <w:rPr>
          <w:rFonts w:ascii="Arial" w:eastAsiaTheme="majorEastAsia" w:hAnsi="Arial" w:cs="Arial"/>
          <w:b/>
          <w:sz w:val="24"/>
          <w:szCs w:val="24"/>
        </w:rPr>
      </w:pPr>
      <w:r>
        <w:rPr>
          <w:rFonts w:ascii="Arial" w:hAnsi="Arial" w:cs="Arial"/>
          <w:b/>
        </w:rPr>
        <w:br w:type="page"/>
      </w:r>
    </w:p>
    <w:p w:rsidR="00DD0965" w:rsidRPr="00DD0965" w:rsidRDefault="00DD0965" w:rsidP="00DD0965">
      <w:pPr>
        <w:pStyle w:val="Nagwek3"/>
        <w:shd w:val="clear" w:color="auto" w:fill="FFFFFF"/>
        <w:spacing w:before="0" w:after="60"/>
        <w:jc w:val="both"/>
        <w:rPr>
          <w:rFonts w:ascii="Arial" w:hAnsi="Arial" w:cs="Arial"/>
          <w:b/>
          <w:color w:val="auto"/>
        </w:rPr>
      </w:pPr>
      <w:r w:rsidRPr="00DD0965">
        <w:rPr>
          <w:rFonts w:ascii="Arial" w:hAnsi="Arial" w:cs="Arial"/>
          <w:b/>
          <w:color w:val="auto"/>
        </w:rPr>
        <w:lastRenderedPageBreak/>
        <w:t>Dalsze wydarzenia</w:t>
      </w:r>
    </w:p>
    <w:p w:rsidR="00DD0965" w:rsidRPr="000547CE" w:rsidRDefault="00DD0965" w:rsidP="00DD0965">
      <w:pPr>
        <w:pStyle w:val="NormalnyWeb"/>
        <w:shd w:val="clear" w:color="auto" w:fill="FFFFFF"/>
        <w:spacing w:before="120" w:beforeAutospacing="0" w:after="240" w:afterAutospacing="0"/>
        <w:jc w:val="both"/>
        <w:rPr>
          <w:rFonts w:ascii="Arial" w:hAnsi="Arial" w:cs="Arial"/>
        </w:rPr>
      </w:pPr>
      <w:r w:rsidRPr="000547CE">
        <w:rPr>
          <w:rFonts w:ascii="Arial" w:hAnsi="Arial" w:cs="Arial"/>
        </w:rPr>
        <w:t xml:space="preserve">W 2015 r. Goldman </w:t>
      </w:r>
      <w:proofErr w:type="spellStart"/>
      <w:r w:rsidRPr="000547CE">
        <w:rPr>
          <w:rFonts w:ascii="Arial" w:hAnsi="Arial" w:cs="Arial"/>
        </w:rPr>
        <w:t>Sachs</w:t>
      </w:r>
      <w:proofErr w:type="spellEnd"/>
      <w:r w:rsidRPr="000547CE">
        <w:rPr>
          <w:rFonts w:ascii="Arial" w:hAnsi="Arial" w:cs="Arial"/>
        </w:rPr>
        <w:t xml:space="preserve"> po cichu zamknął swój fundusz BRIC po utracie 88 procent wartości aktywów od 2010 r. i zamiast tego skierował fundusze do krajów rynków wschodzących. Jim O'Neill, twórca terminu „BRIC”, był byłym głównym ekonomistą Goldman </w:t>
      </w:r>
      <w:proofErr w:type="spellStart"/>
      <w:r w:rsidRPr="000547CE">
        <w:rPr>
          <w:rFonts w:ascii="Arial" w:hAnsi="Arial" w:cs="Arial"/>
        </w:rPr>
        <w:t>Sachs</w:t>
      </w:r>
      <w:proofErr w:type="spellEnd"/>
      <w:r w:rsidRPr="000547CE">
        <w:rPr>
          <w:rFonts w:ascii="Arial" w:hAnsi="Arial" w:cs="Arial"/>
        </w:rPr>
        <w:t xml:space="preserve"> i przeszedł na emeryturę w 2013 r. </w:t>
      </w:r>
    </w:p>
    <w:p w:rsidR="00DD0965" w:rsidRPr="000547CE" w:rsidRDefault="00DD0965" w:rsidP="00DD0965">
      <w:pPr>
        <w:pStyle w:val="NormalnyWeb"/>
        <w:shd w:val="clear" w:color="auto" w:fill="FFFFFF"/>
        <w:spacing w:before="120" w:beforeAutospacing="0" w:after="240" w:afterAutospacing="0"/>
        <w:jc w:val="both"/>
        <w:rPr>
          <w:rFonts w:ascii="Arial" w:hAnsi="Arial" w:cs="Arial"/>
        </w:rPr>
      </w:pPr>
      <w:r w:rsidRPr="000547CE">
        <w:rPr>
          <w:rFonts w:ascii="Arial" w:hAnsi="Arial" w:cs="Arial"/>
        </w:rPr>
        <w:t>Szef rynków wschodzących w Morgan Stanley Investment Management, </w:t>
      </w:r>
      <w:proofErr w:type="spellStart"/>
      <w:r w:rsidRPr="000547CE">
        <w:rPr>
          <w:rFonts w:ascii="Arial" w:hAnsi="Arial" w:cs="Arial"/>
        </w:rPr>
        <w:fldChar w:fldCharType="begin"/>
      </w:r>
      <w:r w:rsidRPr="000547CE">
        <w:rPr>
          <w:rFonts w:ascii="Arial" w:hAnsi="Arial" w:cs="Arial"/>
        </w:rPr>
        <w:instrText xml:space="preserve"> HYPERLINK "https://en.wikipedia.org/wiki/Ruchir_Sharma" \o "Ruchir Szarma" </w:instrText>
      </w:r>
      <w:r w:rsidRPr="000547CE">
        <w:rPr>
          <w:rFonts w:ascii="Arial" w:hAnsi="Arial" w:cs="Arial"/>
        </w:rPr>
        <w:fldChar w:fldCharType="separate"/>
      </w:r>
      <w:r w:rsidRPr="000547CE">
        <w:rPr>
          <w:rStyle w:val="Hipercze"/>
          <w:rFonts w:ascii="Arial" w:hAnsi="Arial" w:cs="Arial"/>
          <w:color w:val="auto"/>
          <w:u w:val="none"/>
        </w:rPr>
        <w:t>Ruchir</w:t>
      </w:r>
      <w:proofErr w:type="spellEnd"/>
      <w:r w:rsidRPr="000547CE">
        <w:rPr>
          <w:rStyle w:val="Hipercze"/>
          <w:rFonts w:ascii="Arial" w:hAnsi="Arial" w:cs="Arial"/>
          <w:color w:val="auto"/>
          <w:u w:val="none"/>
        </w:rPr>
        <w:t xml:space="preserve"> </w:t>
      </w:r>
      <w:proofErr w:type="spellStart"/>
      <w:r w:rsidRPr="000547CE">
        <w:rPr>
          <w:rStyle w:val="Hipercze"/>
          <w:rFonts w:ascii="Arial" w:hAnsi="Arial" w:cs="Arial"/>
          <w:color w:val="auto"/>
          <w:u w:val="none"/>
        </w:rPr>
        <w:t>Sharma</w:t>
      </w:r>
      <w:proofErr w:type="spellEnd"/>
      <w:r w:rsidRPr="000547CE">
        <w:rPr>
          <w:rFonts w:ascii="Arial" w:hAnsi="Arial" w:cs="Arial"/>
        </w:rPr>
        <w:fldChar w:fldCharType="end"/>
      </w:r>
      <w:r w:rsidRPr="000547CE">
        <w:rPr>
          <w:rFonts w:ascii="Arial" w:hAnsi="Arial" w:cs="Arial"/>
        </w:rPr>
        <w:t> , wydał w 2012 roku książkę zatytułowaną </w:t>
      </w:r>
      <w:proofErr w:type="spellStart"/>
      <w:r w:rsidRPr="000547CE">
        <w:rPr>
          <w:rFonts w:ascii="Arial" w:hAnsi="Arial" w:cs="Arial"/>
          <w:i/>
          <w:iCs/>
        </w:rPr>
        <w:fldChar w:fldCharType="begin"/>
      </w:r>
      <w:r w:rsidRPr="000547CE">
        <w:rPr>
          <w:rFonts w:ascii="Arial" w:hAnsi="Arial" w:cs="Arial"/>
          <w:i/>
          <w:iCs/>
        </w:rPr>
        <w:instrText xml:space="preserve"> HYPERLINK "https://en.wikipedia.org/wiki/Breakout_Nations" \o "Narody wyłamujące się" </w:instrText>
      </w:r>
      <w:r w:rsidRPr="000547CE">
        <w:rPr>
          <w:rFonts w:ascii="Arial" w:hAnsi="Arial" w:cs="Arial"/>
          <w:i/>
          <w:iCs/>
        </w:rPr>
        <w:fldChar w:fldCharType="separate"/>
      </w:r>
      <w:r w:rsidRPr="000547CE">
        <w:rPr>
          <w:rStyle w:val="Hipercze"/>
          <w:rFonts w:ascii="Arial" w:hAnsi="Arial" w:cs="Arial"/>
          <w:i/>
          <w:iCs/>
          <w:color w:val="auto"/>
          <w:u w:val="none"/>
        </w:rPr>
        <w:t>Breakout</w:t>
      </w:r>
      <w:proofErr w:type="spellEnd"/>
      <w:r w:rsidRPr="000547CE">
        <w:rPr>
          <w:rStyle w:val="Hipercze"/>
          <w:rFonts w:ascii="Arial" w:hAnsi="Arial" w:cs="Arial"/>
          <w:i/>
          <w:iCs/>
          <w:color w:val="auto"/>
          <w:u w:val="none"/>
        </w:rPr>
        <w:t xml:space="preserve"> Nations</w:t>
      </w:r>
      <w:r w:rsidRPr="000547CE">
        <w:rPr>
          <w:rFonts w:ascii="Arial" w:hAnsi="Arial" w:cs="Arial"/>
          <w:i/>
          <w:iCs/>
        </w:rPr>
        <w:fldChar w:fldCharType="end"/>
      </w:r>
      <w:r w:rsidRPr="000547CE">
        <w:rPr>
          <w:rFonts w:ascii="Arial" w:hAnsi="Arial" w:cs="Arial"/>
          <w:i/>
          <w:iCs/>
        </w:rPr>
        <w:t> .</w:t>
      </w:r>
      <w:r w:rsidRPr="000547CE">
        <w:rPr>
          <w:rFonts w:ascii="Arial" w:hAnsi="Arial" w:cs="Arial"/>
        </w:rPr>
        <w:t> </w:t>
      </w:r>
      <w:proofErr w:type="spellStart"/>
      <w:r w:rsidRPr="000547CE">
        <w:rPr>
          <w:rFonts w:ascii="Arial" w:hAnsi="Arial" w:cs="Arial"/>
        </w:rPr>
        <w:t>Sharma</w:t>
      </w:r>
      <w:proofErr w:type="spellEnd"/>
      <w:r w:rsidRPr="000547CE">
        <w:rPr>
          <w:rFonts w:ascii="Arial" w:hAnsi="Arial" w:cs="Arial"/>
        </w:rPr>
        <w:t xml:space="preserve"> postawił tezę, że tak szybki wzrost przez ponad dekadę jest trudny do utrzymania, a zewnętrzni komentatorzy łączą to z potencjałem gospodarek BRIC do spowolnienia ich szybkiego wzrostu gospodarczego. Pomysł ten został częściowo zaakceptowany przez O'Neilla w 2023 roku, który skomentował, że w czasie od pierwotnej propozycji terminu BRIC, gospodarki BRIC prawdopodobnie nie osiągną prognoz na 2050 rok opublikowanych w raporcie Goldman </w:t>
      </w:r>
      <w:proofErr w:type="spellStart"/>
      <w:r w:rsidRPr="000547CE">
        <w:rPr>
          <w:rFonts w:ascii="Arial" w:hAnsi="Arial" w:cs="Arial"/>
        </w:rPr>
        <w:t>Sachs</w:t>
      </w:r>
      <w:proofErr w:type="spellEnd"/>
      <w:r w:rsidRPr="000547CE">
        <w:rPr>
          <w:rFonts w:ascii="Arial" w:hAnsi="Arial" w:cs="Arial"/>
        </w:rPr>
        <w:t>. O'Neill przypisał to wydarzeniom po 2012 roku, w tym decyzjom rządowym i konsekwencjom Wielkiej Recesji oraz </w:t>
      </w:r>
      <w:hyperlink r:id="rId86" w:tooltip="Wpływ gospodarczy pandemii COVID-19" w:history="1">
        <w:r w:rsidRPr="000547CE">
          <w:rPr>
            <w:rStyle w:val="Hipercze"/>
            <w:rFonts w:ascii="Arial" w:hAnsi="Arial" w:cs="Arial"/>
            <w:color w:val="auto"/>
            <w:u w:val="none"/>
          </w:rPr>
          <w:t>wpływowi pandemii COVID-19</w:t>
        </w:r>
      </w:hyperlink>
      <w:r w:rsidRPr="000547CE">
        <w:rPr>
          <w:rFonts w:ascii="Arial" w:hAnsi="Arial" w:cs="Arial"/>
        </w:rPr>
        <w:t xml:space="preserve"> .  </w:t>
      </w:r>
    </w:p>
    <w:p w:rsidR="00DD0965" w:rsidRPr="000547CE" w:rsidRDefault="00DD0965" w:rsidP="00DD0965">
      <w:pPr>
        <w:pStyle w:val="NormalnyWeb"/>
        <w:shd w:val="clear" w:color="auto" w:fill="FFFFFF"/>
        <w:spacing w:before="120" w:beforeAutospacing="0" w:after="240" w:afterAutospacing="0"/>
        <w:jc w:val="both"/>
        <w:rPr>
          <w:rFonts w:ascii="Arial" w:hAnsi="Arial" w:cs="Arial"/>
        </w:rPr>
      </w:pPr>
      <w:r w:rsidRPr="000547CE">
        <w:rPr>
          <w:rFonts w:ascii="Arial" w:hAnsi="Arial" w:cs="Arial"/>
        </w:rPr>
        <w:t>Pod koniec 2010 roku Chiny po raz pierwszy prześcignęły </w:t>
      </w:r>
      <w:hyperlink r:id="rId87" w:tooltip="Gospodarka Japonii" w:history="1">
        <w:r w:rsidRPr="000547CE">
          <w:rPr>
            <w:rStyle w:val="Hipercze"/>
            <w:rFonts w:ascii="Arial" w:hAnsi="Arial" w:cs="Arial"/>
            <w:color w:val="auto"/>
            <w:u w:val="none"/>
          </w:rPr>
          <w:t>Japonię pod względem PKB</w:t>
        </w:r>
      </w:hyperlink>
      <w:r w:rsidRPr="000547CE">
        <w:rPr>
          <w:rFonts w:ascii="Arial" w:hAnsi="Arial" w:cs="Arial"/>
        </w:rPr>
        <w:t> , przy czym PKB Chin wyniosło 5,88 biliona dolarów w porównaniu do 5,47 biliona dolarów Japonii. Chiny stały się w ten sposób drugą co do wielkości gospodarką świata po Stanach Zjednoczonych. W roku 2013 Chiny po raz pierwszy przekroczyły 4 biliony dolarów w światowym handlu i stały się największym krajem handlowym na świecie, składającym się z 2,21 biliona dolarów w eksporcie i 1,95 biliona dolarów w imporcie. Podczas gdy Stany Zjednoczone przez 11 miesięcy 2013 roku światowy handel osiągnął 3,5 biliona dolarów i wydaje się, że nie mogą pokonać Chin. Światowy bilans handlowy Chin w 2013 roku miał nadwyżkę prawie 260 miliardów dolarów, co stanowi wzrost o 12,8% w porównaniu z rokiem poprzednim. </w:t>
      </w:r>
    </w:p>
    <w:p w:rsidR="00DD0965" w:rsidRPr="000547CE" w:rsidRDefault="00DD0965" w:rsidP="00DD0965">
      <w:pPr>
        <w:pStyle w:val="NormalnyWeb"/>
        <w:shd w:val="clear" w:color="auto" w:fill="FFFFFF"/>
        <w:spacing w:before="120" w:beforeAutospacing="0" w:after="240" w:afterAutospacing="0"/>
        <w:jc w:val="both"/>
        <w:rPr>
          <w:rFonts w:ascii="Arial" w:hAnsi="Arial" w:cs="Arial"/>
        </w:rPr>
      </w:pPr>
      <w:r w:rsidRPr="000547CE">
        <w:rPr>
          <w:rFonts w:ascii="Arial" w:hAnsi="Arial" w:cs="Arial"/>
        </w:rPr>
        <w:t>Według </w:t>
      </w:r>
      <w:hyperlink r:id="rId88" w:tooltip="Narodowy Instytut Badań Ekonomicznych i Społecznych" w:history="1">
        <w:r w:rsidRPr="000547CE">
          <w:rPr>
            <w:rStyle w:val="Hipercze"/>
            <w:rFonts w:ascii="Arial" w:hAnsi="Arial" w:cs="Arial"/>
            <w:color w:val="auto"/>
            <w:u w:val="none"/>
          </w:rPr>
          <w:t>Narodowego Instytutu Badań Ekonomicznych i Społecznych</w:t>
        </w:r>
      </w:hyperlink>
      <w:r w:rsidRPr="000547CE">
        <w:rPr>
          <w:rFonts w:ascii="Arial" w:hAnsi="Arial" w:cs="Arial"/>
        </w:rPr>
        <w:t> , opartego na danych </w:t>
      </w:r>
      <w:hyperlink r:id="rId89" w:tooltip="Międzynarodowy Fundusz Walutowy" w:history="1">
        <w:r w:rsidRPr="000547CE">
          <w:rPr>
            <w:rStyle w:val="Hipercze"/>
            <w:rFonts w:ascii="Arial" w:hAnsi="Arial" w:cs="Arial"/>
            <w:color w:val="auto"/>
            <w:u w:val="none"/>
          </w:rPr>
          <w:t>Międzynarodowego Funduszu Walutowego</w:t>
        </w:r>
      </w:hyperlink>
      <w:r w:rsidRPr="000547CE">
        <w:rPr>
          <w:rFonts w:ascii="Arial" w:hAnsi="Arial" w:cs="Arial"/>
        </w:rPr>
        <w:t> , w 2012 r. Brazylia stała się szóstą co do wielkości gospodarką świata, wyprzedzając Wielką Brytanię z odpowiednio 2,52 biliona dolarów i 2,48 biliona dolarów. Dla porównania w 2010 r. brazylijska gospodarka była warta 2,09 biliona dolarów, podczas gdy gospodarka Wielkiej Brytanii była warta 2,25 biliona dolarów. Znaczne wzrosty przypisano brazylijskiemu boomowi gospodarczemu w postaci wysokich cen żywności i ropy naftowej. Od początku </w:t>
      </w:r>
      <w:hyperlink r:id="rId90" w:tooltip="Wielka Recesja" w:history="1">
        <w:r w:rsidRPr="000547CE">
          <w:rPr>
            <w:rStyle w:val="Hipercze"/>
            <w:rFonts w:ascii="Arial" w:hAnsi="Arial" w:cs="Arial"/>
            <w:color w:val="auto"/>
            <w:u w:val="none"/>
          </w:rPr>
          <w:t>Wielkiej Recesji</w:t>
        </w:r>
      </w:hyperlink>
      <w:r w:rsidRPr="000547CE">
        <w:rPr>
          <w:rFonts w:ascii="Arial" w:hAnsi="Arial" w:cs="Arial"/>
        </w:rPr>
        <w:t xml:space="preserve"> , w III kw. 2013 r. gospodarka Brazylii skurczyła się o 0,5 procent w porównaniu z poprzednim kwartałem, co było pierwszym skurczem od I kw. 2009 r.  </w:t>
      </w:r>
    </w:p>
    <w:p w:rsidR="00DD0965" w:rsidRPr="000547CE" w:rsidRDefault="00DD0965" w:rsidP="00DD0965">
      <w:pPr>
        <w:pStyle w:val="NormalnyWeb"/>
        <w:shd w:val="clear" w:color="auto" w:fill="FFFFFF"/>
        <w:spacing w:before="120" w:beforeAutospacing="0" w:after="240" w:afterAutospacing="0"/>
        <w:jc w:val="both"/>
        <w:rPr>
          <w:rFonts w:ascii="Arial" w:hAnsi="Arial" w:cs="Arial"/>
        </w:rPr>
      </w:pPr>
      <w:r w:rsidRPr="000547CE">
        <w:rPr>
          <w:rFonts w:ascii="Arial" w:hAnsi="Arial" w:cs="Arial"/>
        </w:rPr>
        <w:t>W czerwcu 2012 r., po raporcie </w:t>
      </w:r>
      <w:hyperlink r:id="rId91" w:tooltip="Standard &amp; Poor's" w:history="1">
        <w:r w:rsidRPr="000547CE">
          <w:rPr>
            <w:rStyle w:val="Hipercze"/>
            <w:rFonts w:ascii="Arial" w:hAnsi="Arial" w:cs="Arial"/>
            <w:color w:val="auto"/>
            <w:u w:val="none"/>
          </w:rPr>
          <w:t xml:space="preserve">Standard &amp; </w:t>
        </w:r>
        <w:proofErr w:type="spellStart"/>
        <w:r w:rsidRPr="000547CE">
          <w:rPr>
            <w:rStyle w:val="Hipercze"/>
            <w:rFonts w:ascii="Arial" w:hAnsi="Arial" w:cs="Arial"/>
            <w:color w:val="auto"/>
            <w:u w:val="none"/>
          </w:rPr>
          <w:t>Poor's</w:t>
        </w:r>
        <w:proofErr w:type="spellEnd"/>
      </w:hyperlink>
      <w:r w:rsidRPr="000547CE">
        <w:rPr>
          <w:rFonts w:ascii="Arial" w:hAnsi="Arial" w:cs="Arial"/>
        </w:rPr>
        <w:t> (S&amp;P), że perspektywy wzrostu gospodarczego Indii mogą się pogorszyć, jeśli polityka i zarządzanie nie ulegną poprawie, </w:t>
      </w:r>
      <w:hyperlink r:id="rId92" w:tooltip="Ocena Fitch" w:history="1">
        <w:r w:rsidRPr="000547CE">
          <w:rPr>
            <w:rStyle w:val="Hipercze"/>
            <w:rFonts w:ascii="Arial" w:hAnsi="Arial" w:cs="Arial"/>
            <w:color w:val="auto"/>
            <w:u w:val="none"/>
          </w:rPr>
          <w:t xml:space="preserve">Fitch </w:t>
        </w:r>
        <w:proofErr w:type="spellStart"/>
        <w:r w:rsidRPr="000547CE">
          <w:rPr>
            <w:rStyle w:val="Hipercze"/>
            <w:rFonts w:ascii="Arial" w:hAnsi="Arial" w:cs="Arial"/>
            <w:color w:val="auto"/>
            <w:u w:val="none"/>
          </w:rPr>
          <w:t>Ratings</w:t>
        </w:r>
        <w:proofErr w:type="spellEnd"/>
      </w:hyperlink>
      <w:r w:rsidRPr="000547CE">
        <w:rPr>
          <w:rFonts w:ascii="Arial" w:hAnsi="Arial" w:cs="Arial"/>
        </w:rPr>
        <w:t> obniżył swoją perspektywę kredytową dla Indii ze stabilnej na negatywną, utrzymując jednocześnie rating BBB−, najniższy </w:t>
      </w:r>
      <w:hyperlink r:id="rId93" w:tooltip="Ocena kredytowa obligacji" w:history="1">
        <w:r w:rsidRPr="000547CE">
          <w:rPr>
            <w:rStyle w:val="Hipercze"/>
            <w:rFonts w:ascii="Arial" w:hAnsi="Arial" w:cs="Arial"/>
            <w:color w:val="auto"/>
            <w:u w:val="none"/>
          </w:rPr>
          <w:t>rating inwestycyjny</w:t>
        </w:r>
      </w:hyperlink>
      <w:r w:rsidRPr="000547CE">
        <w:rPr>
          <w:rFonts w:ascii="Arial" w:hAnsi="Arial" w:cs="Arial"/>
        </w:rPr>
        <w:t xml:space="preserve"> . Tydzień przed opublikowaniem ratingu przez Fitch, S&amp;P stwierdził, że Indie mogą stać się pierwszym krajem BRIC, który straci status kraju o ratingu inwestycyjnym.  </w:t>
      </w:r>
    </w:p>
    <w:p w:rsidR="00DD0965" w:rsidRPr="000547CE" w:rsidRDefault="00DD0965" w:rsidP="00DD0965">
      <w:pPr>
        <w:pStyle w:val="NormalnyWeb"/>
        <w:shd w:val="clear" w:color="auto" w:fill="FFFFFF"/>
        <w:spacing w:before="120" w:beforeAutospacing="0" w:after="240" w:afterAutospacing="0"/>
        <w:jc w:val="both"/>
        <w:rPr>
          <w:rFonts w:ascii="Arial" w:hAnsi="Arial" w:cs="Arial"/>
        </w:rPr>
      </w:pPr>
      <w:r w:rsidRPr="000547CE">
        <w:rPr>
          <w:rFonts w:ascii="Arial" w:hAnsi="Arial" w:cs="Arial"/>
        </w:rPr>
        <w:t>Według raportu </w:t>
      </w:r>
      <w:hyperlink r:id="rId94" w:tooltip="Forbes" w:history="1">
        <w:r w:rsidRPr="000547CE">
          <w:rPr>
            <w:rStyle w:val="Hipercze"/>
            <w:rFonts w:ascii="Arial" w:hAnsi="Arial" w:cs="Arial"/>
            <w:i/>
            <w:iCs/>
            <w:color w:val="auto"/>
            <w:u w:val="none"/>
          </w:rPr>
          <w:t>Forbesa</w:t>
        </w:r>
      </w:hyperlink>
      <w:r w:rsidRPr="000547CE">
        <w:rPr>
          <w:rFonts w:ascii="Arial" w:hAnsi="Arial" w:cs="Arial"/>
        </w:rPr>
        <w:t> z marca 2011 r. w krajach BRIC łącznie mieszka 301 </w:t>
      </w:r>
      <w:hyperlink r:id="rId95" w:tooltip="Miliarder" w:history="1">
        <w:r w:rsidRPr="000547CE">
          <w:rPr>
            <w:rStyle w:val="Hipercze"/>
            <w:rFonts w:ascii="Arial" w:hAnsi="Arial" w:cs="Arial"/>
            <w:color w:val="auto"/>
            <w:u w:val="none"/>
          </w:rPr>
          <w:t>miliarderów</w:t>
        </w:r>
      </w:hyperlink>
      <w:r w:rsidRPr="000547CE">
        <w:rPr>
          <w:rFonts w:ascii="Arial" w:hAnsi="Arial" w:cs="Arial"/>
        </w:rPr>
        <w:t> , co przewyższa liczbę miliarderów w Europie, która w 2011 r. wynosiła 300 osób.</w:t>
      </w:r>
    </w:p>
    <w:p w:rsidR="00DD0965" w:rsidRDefault="00DD0965">
      <w:pPr>
        <w:rPr>
          <w:rFonts w:ascii="Times New Roman" w:eastAsia="Times New Roman" w:hAnsi="Times New Roman" w:cs="Times New Roman"/>
          <w:sz w:val="24"/>
          <w:szCs w:val="24"/>
          <w:lang w:eastAsia="pl-PL"/>
        </w:rPr>
      </w:pPr>
    </w:p>
    <w:p w:rsidR="000547CE" w:rsidRDefault="000547CE" w:rsidP="000547CE">
      <w:pPr>
        <w:pStyle w:val="Nagwek2"/>
        <w:shd w:val="clear" w:color="auto" w:fill="FFFFFF"/>
        <w:spacing w:before="0" w:beforeAutospacing="0" w:after="60" w:afterAutospacing="0"/>
        <w:rPr>
          <w:rFonts w:ascii="Georgia" w:hAnsi="Georgia"/>
        </w:rPr>
      </w:pPr>
      <w:r>
        <w:rPr>
          <w:rFonts w:ascii="Georgia" w:hAnsi="Georgia"/>
        </w:rPr>
        <w:lastRenderedPageBreak/>
        <w:t>Statystyka</w:t>
      </w:r>
    </w:p>
    <w:p w:rsidR="000547CE" w:rsidRDefault="000547CE" w:rsidP="000547CE">
      <w:r>
        <w:rPr>
          <w:noProof/>
          <w:color w:val="0000FF"/>
          <w:bdr w:val="none" w:sz="0" w:space="0" w:color="auto" w:frame="1"/>
          <w:lang w:eastAsia="pl-PL"/>
        </w:rPr>
        <w:drawing>
          <wp:inline distT="0" distB="0" distL="0" distR="0">
            <wp:extent cx="4924425" cy="6334601"/>
            <wp:effectExtent l="0" t="0" r="0" b="9525"/>
            <wp:docPr id="19" name="Obraz 19" descr="https://upload.wikimedia.org/wikipedia/commons/thumb/a/ac/Historical_top_10_nominal_GDP_proportion_2018.svg/250px-Historical_top_10_nominal_GDP_proportion_2018.svg.pn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a/ac/Historical_top_10_nominal_GDP_proportion_2018.svg/250px-Historical_top_10_nominal_GDP_proportion_2018.svg.pn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940241" cy="6354946"/>
                    </a:xfrm>
                    <a:prstGeom prst="rect">
                      <a:avLst/>
                    </a:prstGeom>
                    <a:noFill/>
                    <a:ln>
                      <a:noFill/>
                    </a:ln>
                  </pic:spPr>
                </pic:pic>
              </a:graphicData>
            </a:graphic>
          </wp:inline>
        </w:drawing>
      </w:r>
    </w:p>
    <w:p w:rsidR="000547CE" w:rsidRDefault="000547CE" w:rsidP="000547CE">
      <w:pPr>
        <w:rPr>
          <w:rFonts w:ascii="Times New Roman" w:hAnsi="Times New Roman"/>
          <w:sz w:val="24"/>
          <w:szCs w:val="24"/>
        </w:rPr>
      </w:pPr>
      <w:r>
        <w:t>Udział nominalnego PKB świata (kraje z danymi) dla krajów z 10 najwyższym nominalnym PKB w 2018 r., od 1980 r. do 2018 r., z prognozami MFW do 2024 r. Kraje oznaczone gwiazdką to kraje spoza G8. </w:t>
      </w:r>
      <w:r>
        <w:rPr>
          <w:rFonts w:ascii="Times New Roman" w:hAnsi="Times New Roman"/>
          <w:sz w:val="24"/>
          <w:szCs w:val="24"/>
        </w:rPr>
        <w:t xml:space="preserve"> </w:t>
      </w:r>
    </w:p>
    <w:p w:rsidR="000547CE" w:rsidRDefault="000547CE">
      <w:pPr>
        <w:rPr>
          <w:rFonts w:ascii="Arial" w:hAnsi="Arial" w:cs="Arial"/>
          <w:color w:val="202122"/>
        </w:rPr>
      </w:pPr>
      <w:r>
        <w:rPr>
          <w:rFonts w:ascii="Arial" w:hAnsi="Arial" w:cs="Arial"/>
          <w:color w:val="202122"/>
        </w:rPr>
        <w:br w:type="page"/>
      </w:r>
    </w:p>
    <w:p w:rsidR="000547CE" w:rsidRDefault="000547CE" w:rsidP="000547CE">
      <w:pPr>
        <w:pStyle w:val="Nagwek3"/>
        <w:shd w:val="clear" w:color="auto" w:fill="FFFFFF"/>
        <w:spacing w:before="0" w:after="60"/>
        <w:rPr>
          <w:rFonts w:ascii="inherit" w:hAnsi="inherit" w:cs="Arial"/>
        </w:rPr>
      </w:pPr>
      <w:r>
        <w:rPr>
          <w:rFonts w:ascii="inherit" w:hAnsi="inherit" w:cs="Arial"/>
        </w:rPr>
        <w:lastRenderedPageBreak/>
        <w:t xml:space="preserve">Prognoza Goldman </w:t>
      </w:r>
      <w:proofErr w:type="spellStart"/>
      <w:r>
        <w:rPr>
          <w:rFonts w:ascii="inherit" w:hAnsi="inherit" w:cs="Arial"/>
        </w:rPr>
        <w:t>Sachs</w:t>
      </w:r>
      <w:proofErr w:type="spellEnd"/>
    </w:p>
    <w:p w:rsidR="000547CE" w:rsidRDefault="000547CE" w:rsidP="000547CE">
      <w:pPr>
        <w:rPr>
          <w:rFonts w:ascii="Arial" w:hAnsi="Arial" w:cs="Arial"/>
        </w:rPr>
      </w:pPr>
      <w:r>
        <w:rPr>
          <w:noProof/>
          <w:color w:val="0000FF"/>
          <w:bdr w:val="none" w:sz="0" w:space="0" w:color="auto" w:frame="1"/>
          <w:lang w:eastAsia="pl-PL"/>
        </w:rPr>
        <w:drawing>
          <wp:inline distT="0" distB="0" distL="0" distR="0">
            <wp:extent cx="6257925" cy="2776954"/>
            <wp:effectExtent l="0" t="0" r="0" b="4445"/>
            <wp:docPr id="20" name="Obraz 20" descr="https://upload.wikimedia.org/wikipedia/commons/thumb/7/79/Top_five_largest_economies_in_2050.jpg/800px-Top_five_largest_economies_in_2050.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7/79/Top_five_largest_economies_in_2050.jpg/800px-Top_five_largest_economies_in_2050.jp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290819" cy="2791551"/>
                    </a:xfrm>
                    <a:prstGeom prst="rect">
                      <a:avLst/>
                    </a:prstGeom>
                    <a:noFill/>
                    <a:ln>
                      <a:noFill/>
                    </a:ln>
                  </pic:spPr>
                </pic:pic>
              </a:graphicData>
            </a:graphic>
          </wp:inline>
        </w:drawing>
      </w:r>
      <w:r>
        <w:t xml:space="preserve">Prognoza dziesięciu największych gospodarek świata do roku 2050, mierzona PKB (w miliardach </w:t>
      </w:r>
      <w:r w:rsidRPr="000547CE">
        <w:t>dolarów amerykańskich z 2006 r.), według </w:t>
      </w:r>
      <w:hyperlink r:id="rId100" w:tooltip="Goldman Sachs" w:history="1">
        <w:r w:rsidRPr="000547CE">
          <w:rPr>
            <w:rStyle w:val="Hipercze"/>
            <w:color w:val="auto"/>
            <w:u w:val="none"/>
          </w:rPr>
          <w:t xml:space="preserve">Goldman </w:t>
        </w:r>
        <w:proofErr w:type="spellStart"/>
        <w:r w:rsidRPr="000547CE">
          <w:rPr>
            <w:rStyle w:val="Hipercze"/>
            <w:color w:val="auto"/>
            <w:u w:val="none"/>
          </w:rPr>
          <w:t>Sachs</w:t>
        </w:r>
        <w:proofErr w:type="spellEnd"/>
      </w:hyperlink>
      <w:r w:rsidRPr="000547CE">
        <w:t> z 2007 r. </w:t>
      </w:r>
      <w:r w:rsidRPr="000547CE">
        <w:rPr>
          <w:rFonts w:ascii="Arial" w:hAnsi="Arial" w:cs="Arial"/>
        </w:rPr>
        <w:t xml:space="preserve"> </w:t>
      </w:r>
    </w:p>
    <w:p w:rsidR="00012E60" w:rsidRDefault="00012E60">
      <w:pPr>
        <w:rPr>
          <w:rFonts w:ascii="Arial" w:hAnsi="Arial" w:cs="Arial"/>
        </w:rPr>
      </w:pPr>
      <w:r>
        <w:rPr>
          <w:rFonts w:ascii="Arial" w:hAnsi="Arial" w:cs="Arial"/>
        </w:rPr>
        <w:br w:type="page"/>
      </w:r>
    </w:p>
    <w:p w:rsidR="00012E60" w:rsidRPr="00224F93" w:rsidRDefault="00012E60" w:rsidP="00012E60">
      <w:pPr>
        <w:pStyle w:val="Nagwek2"/>
        <w:shd w:val="clear" w:color="auto" w:fill="FFFFFF"/>
        <w:spacing w:before="0" w:beforeAutospacing="0" w:after="60" w:afterAutospacing="0"/>
        <w:rPr>
          <w:rFonts w:ascii="Arial" w:hAnsi="Arial" w:cs="Arial"/>
          <w:sz w:val="28"/>
          <w:szCs w:val="28"/>
        </w:rPr>
      </w:pPr>
      <w:r w:rsidRPr="00224F93">
        <w:rPr>
          <w:rFonts w:ascii="Arial" w:hAnsi="Arial" w:cs="Arial"/>
          <w:sz w:val="28"/>
          <w:szCs w:val="28"/>
        </w:rPr>
        <w:lastRenderedPageBreak/>
        <w:t>Proponowane elementy</w:t>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Meksyk i Korea Południowa są obecnie 13. i 15. największymi krajami świata pod względem </w:t>
      </w:r>
      <w:hyperlink r:id="rId101" w:tooltip="Nominalny PKB" w:history="1">
        <w:r w:rsidRPr="00012E60">
          <w:rPr>
            <w:rStyle w:val="Hipercze"/>
            <w:rFonts w:ascii="Arial" w:hAnsi="Arial" w:cs="Arial"/>
            <w:color w:val="auto"/>
            <w:u w:val="none"/>
          </w:rPr>
          <w:t>nominalnego PKB,</w:t>
        </w:r>
      </w:hyperlink>
      <w:r w:rsidRPr="00012E60">
        <w:rPr>
          <w:rFonts w:ascii="Arial" w:hAnsi="Arial" w:cs="Arial"/>
        </w:rPr>
        <w:t> zaraz za gospodarkami BRIC i G7. Oba kraje odnotowują szybki wzrost PKB o 5% rocznie, co jest wartością porównywalną z Brazylią z pierwotnych BRIC. </w:t>
      </w:r>
      <w:hyperlink r:id="rId102" w:tooltip="Jim O'Neill, Baron O'Neill z Gatley" w:history="1">
        <w:r w:rsidRPr="00012E60">
          <w:rPr>
            <w:rStyle w:val="Hipercze"/>
            <w:rFonts w:ascii="Arial" w:hAnsi="Arial" w:cs="Arial"/>
            <w:color w:val="auto"/>
            <w:u w:val="none"/>
          </w:rPr>
          <w:t>Jim O'Neill</w:t>
        </w:r>
      </w:hyperlink>
      <w:r w:rsidRPr="00012E60">
        <w:rPr>
          <w:rFonts w:ascii="Arial" w:hAnsi="Arial" w:cs="Arial"/>
        </w:rPr>
        <w:t xml:space="preserve"> , twórca tezy ekonomicznej, stwierdził, że w 2001 r., kiedy dokument został stworzony, nie uwzględniał Meksyku, ale dziś został uwzględniony, ponieważ kraj ten doświadcza tych samych czynników, które występują w innych krajach uwzględnionych jako pierwsze. Chociaż Korea Południowa pierwotnie nie została uwzględniona w BRIC, ostatni solidny wzrost gospodarczy doprowadził do tego, że Goldman </w:t>
      </w:r>
      <w:proofErr w:type="spellStart"/>
      <w:r w:rsidRPr="00012E60">
        <w:rPr>
          <w:rFonts w:ascii="Arial" w:hAnsi="Arial" w:cs="Arial"/>
        </w:rPr>
        <w:t>Sachs</w:t>
      </w:r>
      <w:proofErr w:type="spellEnd"/>
      <w:r w:rsidRPr="00012E60">
        <w:rPr>
          <w:rFonts w:ascii="Arial" w:hAnsi="Arial" w:cs="Arial"/>
        </w:rPr>
        <w:t xml:space="preserve"> zaproponował dodanie Meksyku i Korei Południowej do BRIC, zmieniając akronim na BRIMCK, przy czym Jim O'Neill wskazał, że Korea „jest w lepszej sytuacji niż większość innych, aby wykorzystać swój potencjał ze względu na swoje fundamenty wspierające wzrost”.  </w:t>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 xml:space="preserve">W artykule Goldman </w:t>
      </w:r>
      <w:proofErr w:type="spellStart"/>
      <w:r w:rsidRPr="00012E60">
        <w:rPr>
          <w:rFonts w:ascii="Arial" w:hAnsi="Arial" w:cs="Arial"/>
        </w:rPr>
        <w:t>Sachs</w:t>
      </w:r>
      <w:proofErr w:type="spellEnd"/>
      <w:r w:rsidRPr="00012E60">
        <w:rPr>
          <w:rFonts w:ascii="Arial" w:hAnsi="Arial" w:cs="Arial"/>
        </w:rPr>
        <w:t xml:space="preserve"> opublikowanym później w grudniu 2005 r. wyjaśniono, dlaczego Meksyk i Korea Południowa nie zostały uwzględnione w pierwotnych BRIC. Według artykułu spośród innych krajów, które uwzględniono, tylko Meksyk i Korea Południowa mają potencjał, aby rywalizować z BRIC, ale są to gospodarki, które początkowo postanowiono wykluczyć, ponieważ postrzegano je jako bardziej rozwinięte. Jednak ze względu na popularność tezy Goldman </w:t>
      </w:r>
      <w:proofErr w:type="spellStart"/>
      <w:r w:rsidRPr="00012E60">
        <w:rPr>
          <w:rFonts w:ascii="Arial" w:hAnsi="Arial" w:cs="Arial"/>
        </w:rPr>
        <w:t>Sachs</w:t>
      </w:r>
      <w:proofErr w:type="spellEnd"/>
      <w:r w:rsidRPr="00012E60">
        <w:rPr>
          <w:rFonts w:ascii="Arial" w:hAnsi="Arial" w:cs="Arial"/>
        </w:rPr>
        <w:t xml:space="preserve">, „BRIMC” i „BRICK” stają się bardziej ogólnymi terminami marketingowymi odnoszącymi się do tych sześciu krajów. Ze względu na popularność tezy Goldman </w:t>
      </w:r>
      <w:proofErr w:type="spellStart"/>
      <w:r w:rsidRPr="00012E60">
        <w:rPr>
          <w:rFonts w:ascii="Arial" w:hAnsi="Arial" w:cs="Arial"/>
        </w:rPr>
        <w:t>Sachs</w:t>
      </w:r>
      <w:proofErr w:type="spellEnd"/>
      <w:r w:rsidRPr="00012E60">
        <w:rPr>
          <w:rFonts w:ascii="Arial" w:hAnsi="Arial" w:cs="Arial"/>
        </w:rPr>
        <w:t xml:space="preserve"> „BRIC”, termin ten był czasami rozszerzany, w wyniku czego „BRICK” (K jak Korea Południowa) i „BRIMC” (M jak Meksyk) odnoszą się do tych proponowanych rozszerzeń. Inne proponowane grupowania obejmują „BRICA” ( kraje arabskie </w:t>
      </w:r>
      <w:hyperlink r:id="rId103" w:tooltip="Rada Współpracy Zatoki Perskiej" w:history="1">
        <w:r w:rsidRPr="00012E60">
          <w:rPr>
            <w:rStyle w:val="Hipercze"/>
            <w:rFonts w:ascii="Arial" w:hAnsi="Arial" w:cs="Arial"/>
            <w:color w:val="auto"/>
            <w:u w:val="none"/>
          </w:rPr>
          <w:t>Rady Współpracy Zatoki Perskiej — </w:t>
        </w:r>
      </w:hyperlink>
      <w:hyperlink r:id="rId104" w:tooltip="Arabia Saudyjska" w:history="1">
        <w:r w:rsidRPr="00012E60">
          <w:rPr>
            <w:rStyle w:val="Hipercze"/>
            <w:rFonts w:ascii="Arial" w:hAnsi="Arial" w:cs="Arial"/>
            <w:color w:val="auto"/>
            <w:u w:val="none"/>
          </w:rPr>
          <w:t>Arabia Saudyjska</w:t>
        </w:r>
      </w:hyperlink>
      <w:r w:rsidRPr="00012E60">
        <w:rPr>
          <w:rFonts w:ascii="Arial" w:hAnsi="Arial" w:cs="Arial"/>
        </w:rPr>
        <w:t> , </w:t>
      </w:r>
      <w:hyperlink r:id="rId105" w:tooltip="Katar" w:history="1">
        <w:r w:rsidRPr="00012E60">
          <w:rPr>
            <w:rStyle w:val="Hipercze"/>
            <w:rFonts w:ascii="Arial" w:hAnsi="Arial" w:cs="Arial"/>
            <w:color w:val="auto"/>
            <w:u w:val="none"/>
          </w:rPr>
          <w:t>Katar</w:t>
        </w:r>
      </w:hyperlink>
      <w:r w:rsidRPr="00012E60">
        <w:rPr>
          <w:rFonts w:ascii="Arial" w:hAnsi="Arial" w:cs="Arial"/>
        </w:rPr>
        <w:t> , </w:t>
      </w:r>
      <w:hyperlink r:id="rId106" w:tooltip="Kuwejt" w:history="1">
        <w:r w:rsidRPr="00012E60">
          <w:rPr>
            <w:rStyle w:val="Hipercze"/>
            <w:rFonts w:ascii="Arial" w:hAnsi="Arial" w:cs="Arial"/>
            <w:color w:val="auto"/>
            <w:u w:val="none"/>
          </w:rPr>
          <w:t>Kuwejt</w:t>
        </w:r>
      </w:hyperlink>
      <w:r w:rsidRPr="00012E60">
        <w:rPr>
          <w:rFonts w:ascii="Arial" w:hAnsi="Arial" w:cs="Arial"/>
        </w:rPr>
        <w:t> , </w:t>
      </w:r>
      <w:hyperlink r:id="rId107" w:tooltip="Bahrajn" w:history="1">
        <w:r w:rsidRPr="00012E60">
          <w:rPr>
            <w:rStyle w:val="Hipercze"/>
            <w:rFonts w:ascii="Arial" w:hAnsi="Arial" w:cs="Arial"/>
            <w:color w:val="auto"/>
            <w:u w:val="none"/>
          </w:rPr>
          <w:t>Bahrajn</w:t>
        </w:r>
      </w:hyperlink>
      <w:r w:rsidRPr="00012E60">
        <w:rPr>
          <w:rFonts w:ascii="Arial" w:hAnsi="Arial" w:cs="Arial"/>
        </w:rPr>
        <w:t> , </w:t>
      </w:r>
      <w:hyperlink r:id="rId108" w:tooltip="Oman" w:history="1">
        <w:r w:rsidRPr="00012E60">
          <w:rPr>
            <w:rStyle w:val="Hipercze"/>
            <w:rFonts w:ascii="Arial" w:hAnsi="Arial" w:cs="Arial"/>
            <w:color w:val="auto"/>
            <w:u w:val="none"/>
          </w:rPr>
          <w:t>Oman</w:t>
        </w:r>
      </w:hyperlink>
      <w:r w:rsidRPr="00012E60">
        <w:rPr>
          <w:rFonts w:ascii="Arial" w:hAnsi="Arial" w:cs="Arial"/>
        </w:rPr>
        <w:t> i </w:t>
      </w:r>
      <w:hyperlink r:id="rId109" w:tooltip="Emiraty Arabskie" w:history="1">
        <w:r w:rsidRPr="00012E60">
          <w:rPr>
            <w:rStyle w:val="Hipercze"/>
            <w:rFonts w:ascii="Arial" w:hAnsi="Arial" w:cs="Arial"/>
            <w:color w:val="auto"/>
            <w:u w:val="none"/>
          </w:rPr>
          <w:t>Zjednoczone Emiraty Arabskie</w:t>
        </w:r>
      </w:hyperlink>
      <w:r w:rsidRPr="00012E60">
        <w:rPr>
          <w:rFonts w:ascii="Arial" w:hAnsi="Arial" w:cs="Arial"/>
        </w:rPr>
        <w:t> ) i „BRICET” (obejmujący Europę Wschodnią i </w:t>
      </w:r>
      <w:hyperlink r:id="rId110" w:tooltip="Indyk" w:history="1">
        <w:r w:rsidRPr="00012E60">
          <w:rPr>
            <w:rStyle w:val="Hipercze"/>
            <w:rFonts w:ascii="Arial" w:hAnsi="Arial" w:cs="Arial"/>
            <w:color w:val="auto"/>
            <w:u w:val="none"/>
          </w:rPr>
          <w:t>Turcję</w:t>
        </w:r>
      </w:hyperlink>
      <w:r w:rsidRPr="00012E60">
        <w:rPr>
          <w:rFonts w:ascii="Arial" w:hAnsi="Arial" w:cs="Arial"/>
        </w:rPr>
        <w:t> ) i stały się one bardziej ogólnymi terminami </w:t>
      </w:r>
      <w:hyperlink r:id="rId111" w:tooltip="Marketing" w:history="1">
        <w:r w:rsidRPr="00012E60">
          <w:rPr>
            <w:rStyle w:val="Hipercze"/>
            <w:rFonts w:ascii="Arial" w:hAnsi="Arial" w:cs="Arial"/>
            <w:color w:val="auto"/>
            <w:u w:val="none"/>
          </w:rPr>
          <w:t>marketingowymi</w:t>
        </w:r>
      </w:hyperlink>
      <w:r w:rsidRPr="00012E60">
        <w:rPr>
          <w:rFonts w:ascii="Arial" w:hAnsi="Arial" w:cs="Arial"/>
        </w:rPr>
        <w:t> odnoszącymi się do tych wschodzących rynków.</w:t>
      </w:r>
    </w:p>
    <w:p w:rsidR="00012E60" w:rsidRDefault="00012E60">
      <w:pPr>
        <w:rPr>
          <w:rFonts w:ascii="Arial" w:eastAsia="Times New Roman" w:hAnsi="Arial" w:cs="Arial"/>
          <w:color w:val="202122"/>
          <w:sz w:val="24"/>
          <w:szCs w:val="24"/>
          <w:lang w:eastAsia="pl-PL"/>
        </w:rPr>
      </w:pPr>
      <w:r>
        <w:rPr>
          <w:rFonts w:ascii="Arial" w:hAnsi="Arial" w:cs="Arial"/>
          <w:color w:val="202122"/>
        </w:rPr>
        <w:br w:type="page"/>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lastRenderedPageBreak/>
        <w:t>W </w:t>
      </w:r>
      <w:hyperlink r:id="rId112" w:tooltip="Artykuł redakcyjny" w:history="1">
        <w:r w:rsidRPr="00012E60">
          <w:rPr>
            <w:rStyle w:val="Hipercze"/>
            <w:rFonts w:ascii="Arial" w:hAnsi="Arial" w:cs="Arial"/>
            <w:color w:val="auto"/>
            <w:u w:val="none"/>
          </w:rPr>
          <w:t>artykule redakcyjnym z</w:t>
        </w:r>
      </w:hyperlink>
      <w:r w:rsidRPr="00012E60">
        <w:rPr>
          <w:rFonts w:ascii="Arial" w:hAnsi="Arial" w:cs="Arial"/>
        </w:rPr>
        <w:t xml:space="preserve"> sierpnia 2010 r . Jim O'Neill z Goldman </w:t>
      </w:r>
      <w:proofErr w:type="spellStart"/>
      <w:r w:rsidRPr="00012E60">
        <w:rPr>
          <w:rFonts w:ascii="Arial" w:hAnsi="Arial" w:cs="Arial"/>
        </w:rPr>
        <w:t>Sachs</w:t>
      </w:r>
      <w:proofErr w:type="spellEnd"/>
      <w:r w:rsidRPr="00012E60">
        <w:rPr>
          <w:rFonts w:ascii="Arial" w:hAnsi="Arial" w:cs="Arial"/>
        </w:rPr>
        <w:t xml:space="preserve"> argumentował, że </w:t>
      </w:r>
      <w:hyperlink r:id="rId113" w:tooltip="Afryka" w:history="1">
        <w:r w:rsidRPr="00012E60">
          <w:rPr>
            <w:rStyle w:val="Hipercze"/>
            <w:rFonts w:ascii="Arial" w:hAnsi="Arial" w:cs="Arial"/>
            <w:color w:val="auto"/>
            <w:u w:val="none"/>
          </w:rPr>
          <w:t>Afrykę</w:t>
        </w:r>
      </w:hyperlink>
      <w:r w:rsidRPr="00012E60">
        <w:rPr>
          <w:rFonts w:ascii="Arial" w:hAnsi="Arial" w:cs="Arial"/>
        </w:rPr>
        <w:t> można uznać za następny BRIC. Analitycy z konkurencyjnych banków starali się wyjść poza koncepcję BRIC, wprowadzając własne grupy rynków wschodzących. Propozycje obejmują CIVET (Kolumbia, Indonezja, Wietnam, Egipt, Turcja i Republika Południowej Afryki), EAGLES (gospodarki wschodzące i wiodące pod względem wzrostu) oraz klub 7 procent (który obejmuje kraje, których średni wzrost gospodarczy wynosi co najmniej 7 procent rocznie). </w:t>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W swoim opracowaniu „</w:t>
      </w:r>
      <w:proofErr w:type="spellStart"/>
      <w:r w:rsidRPr="00012E60">
        <w:rPr>
          <w:rFonts w:ascii="Arial" w:hAnsi="Arial" w:cs="Arial"/>
        </w:rPr>
        <w:t>BRICs</w:t>
      </w:r>
      <w:proofErr w:type="spellEnd"/>
      <w:r w:rsidRPr="00012E60">
        <w:rPr>
          <w:rFonts w:ascii="Arial" w:hAnsi="Arial" w:cs="Arial"/>
        </w:rPr>
        <w:t xml:space="preserve"> and Beyond” Goldman </w:t>
      </w:r>
      <w:proofErr w:type="spellStart"/>
      <w:r w:rsidRPr="00012E60">
        <w:rPr>
          <w:rFonts w:ascii="Arial" w:hAnsi="Arial" w:cs="Arial"/>
        </w:rPr>
        <w:t>Sachs</w:t>
      </w:r>
      <w:proofErr w:type="spellEnd"/>
      <w:r w:rsidRPr="00012E60">
        <w:rPr>
          <w:rFonts w:ascii="Arial" w:hAnsi="Arial" w:cs="Arial"/>
        </w:rPr>
        <w:t xml:space="preserve"> stwierdził, że „Meksyku, czterech krajów BRIC i Korei Południowej nie należy postrzegać jako rynków wschodzących w klasycznym sensie”, dodając, że są one „krytyczną częścią nowoczesnej globalnej gospodarki” i „tak samo centralną dla jej funkcjonowania, jak obecna G7”. </w:t>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Termin ten jest używany przede wszystkim w sferze ekonomicznej i finansowej, a także w </w:t>
      </w:r>
      <w:hyperlink r:id="rId114" w:tooltip="Akademia" w:history="1">
        <w:r w:rsidRPr="00012E60">
          <w:rPr>
            <w:rStyle w:val="Hipercze"/>
            <w:rFonts w:ascii="Arial" w:hAnsi="Arial" w:cs="Arial"/>
            <w:color w:val="auto"/>
            <w:u w:val="none"/>
          </w:rPr>
          <w:t>środowisku akademickim</w:t>
        </w:r>
      </w:hyperlink>
      <w:r w:rsidRPr="00012E60">
        <w:rPr>
          <w:rFonts w:ascii="Arial" w:hAnsi="Arial" w:cs="Arial"/>
        </w:rPr>
        <w:t xml:space="preserve"> . Jego użycie wzrosło szczególnie w sektorze inwestycyjnym, gdzie jest używany w odniesieniu do obligacji emitowanych przez rządy tych rynków wschodzących.  </w:t>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 xml:space="preserve">O'Neill później wymyślił kilka innych terminów dla grup gospodarek wschodzących na różnych etapach. Po pierwsze, termin „The </w:t>
      </w:r>
      <w:proofErr w:type="spellStart"/>
      <w:r w:rsidRPr="00012E60">
        <w:rPr>
          <w:rFonts w:ascii="Arial" w:hAnsi="Arial" w:cs="Arial"/>
        </w:rPr>
        <w:t>Next</w:t>
      </w:r>
      <w:proofErr w:type="spellEnd"/>
      <w:r w:rsidRPr="00012E60">
        <w:rPr>
          <w:rFonts w:ascii="Arial" w:hAnsi="Arial" w:cs="Arial"/>
        </w:rPr>
        <w:t xml:space="preserve"> </w:t>
      </w:r>
      <w:proofErr w:type="spellStart"/>
      <w:r w:rsidRPr="00012E60">
        <w:rPr>
          <w:rFonts w:ascii="Arial" w:hAnsi="Arial" w:cs="Arial"/>
        </w:rPr>
        <w:t>Eleven</w:t>
      </w:r>
      <w:proofErr w:type="spellEnd"/>
      <w:r w:rsidRPr="00012E60">
        <w:rPr>
          <w:rFonts w:ascii="Arial" w:hAnsi="Arial" w:cs="Arial"/>
        </w:rPr>
        <w:t>” odnosił się do </w:t>
      </w:r>
      <w:hyperlink r:id="rId115" w:tooltip="Bangladesz" w:history="1">
        <w:r w:rsidRPr="00012E60">
          <w:rPr>
            <w:rStyle w:val="Hipercze"/>
            <w:rFonts w:ascii="Arial" w:hAnsi="Arial" w:cs="Arial"/>
            <w:color w:val="auto"/>
            <w:u w:val="none"/>
          </w:rPr>
          <w:t>Bangladeszu</w:t>
        </w:r>
      </w:hyperlink>
      <w:r w:rsidRPr="00012E60">
        <w:rPr>
          <w:rFonts w:ascii="Arial" w:hAnsi="Arial" w:cs="Arial"/>
        </w:rPr>
        <w:t> , </w:t>
      </w:r>
      <w:hyperlink r:id="rId116" w:tooltip="Egipt" w:history="1">
        <w:r w:rsidRPr="00012E60">
          <w:rPr>
            <w:rStyle w:val="Hipercze"/>
            <w:rFonts w:ascii="Arial" w:hAnsi="Arial" w:cs="Arial"/>
            <w:color w:val="auto"/>
            <w:u w:val="none"/>
          </w:rPr>
          <w:t>Egiptu</w:t>
        </w:r>
      </w:hyperlink>
      <w:r w:rsidRPr="00012E60">
        <w:rPr>
          <w:rFonts w:ascii="Arial" w:hAnsi="Arial" w:cs="Arial"/>
        </w:rPr>
        <w:t> , </w:t>
      </w:r>
      <w:hyperlink r:id="rId117" w:tooltip="Indonezja" w:history="1">
        <w:r w:rsidRPr="00012E60">
          <w:rPr>
            <w:rStyle w:val="Hipercze"/>
            <w:rFonts w:ascii="Arial" w:hAnsi="Arial" w:cs="Arial"/>
            <w:color w:val="auto"/>
            <w:u w:val="none"/>
          </w:rPr>
          <w:t>Indonezji</w:t>
        </w:r>
      </w:hyperlink>
      <w:r w:rsidRPr="00012E60">
        <w:rPr>
          <w:rFonts w:ascii="Arial" w:hAnsi="Arial" w:cs="Arial"/>
        </w:rPr>
        <w:t> , </w:t>
      </w:r>
      <w:hyperlink r:id="rId118" w:tooltip="Iran" w:history="1">
        <w:r w:rsidRPr="00012E60">
          <w:rPr>
            <w:rStyle w:val="Hipercze"/>
            <w:rFonts w:ascii="Arial" w:hAnsi="Arial" w:cs="Arial"/>
            <w:color w:val="auto"/>
            <w:u w:val="none"/>
          </w:rPr>
          <w:t>Iranu</w:t>
        </w:r>
      </w:hyperlink>
      <w:r w:rsidRPr="00012E60">
        <w:rPr>
          <w:rFonts w:ascii="Arial" w:hAnsi="Arial" w:cs="Arial"/>
        </w:rPr>
        <w:t> , </w:t>
      </w:r>
      <w:hyperlink r:id="rId119" w:tooltip="Meksyk" w:history="1">
        <w:r w:rsidRPr="00012E60">
          <w:rPr>
            <w:rStyle w:val="Hipercze"/>
            <w:rFonts w:ascii="Arial" w:hAnsi="Arial" w:cs="Arial"/>
            <w:color w:val="auto"/>
            <w:u w:val="none"/>
          </w:rPr>
          <w:t>Meksyku</w:t>
        </w:r>
      </w:hyperlink>
      <w:r w:rsidRPr="00012E60">
        <w:rPr>
          <w:rFonts w:ascii="Arial" w:hAnsi="Arial" w:cs="Arial"/>
        </w:rPr>
        <w:t> , </w:t>
      </w:r>
      <w:hyperlink r:id="rId120" w:tooltip="Nigeria" w:history="1">
        <w:r w:rsidRPr="00012E60">
          <w:rPr>
            <w:rStyle w:val="Hipercze"/>
            <w:rFonts w:ascii="Arial" w:hAnsi="Arial" w:cs="Arial"/>
            <w:color w:val="auto"/>
            <w:u w:val="none"/>
          </w:rPr>
          <w:t>Nigerii</w:t>
        </w:r>
      </w:hyperlink>
      <w:r w:rsidRPr="00012E60">
        <w:rPr>
          <w:rFonts w:ascii="Arial" w:hAnsi="Arial" w:cs="Arial"/>
        </w:rPr>
        <w:t> , </w:t>
      </w:r>
      <w:hyperlink r:id="rId121" w:tooltip="Pakistan" w:history="1">
        <w:r w:rsidRPr="00012E60">
          <w:rPr>
            <w:rStyle w:val="Hipercze"/>
            <w:rFonts w:ascii="Arial" w:hAnsi="Arial" w:cs="Arial"/>
            <w:color w:val="auto"/>
            <w:u w:val="none"/>
          </w:rPr>
          <w:t>Pakistanu</w:t>
        </w:r>
      </w:hyperlink>
      <w:r w:rsidRPr="00012E60">
        <w:rPr>
          <w:rFonts w:ascii="Arial" w:hAnsi="Arial" w:cs="Arial"/>
        </w:rPr>
        <w:t> , </w:t>
      </w:r>
      <w:hyperlink r:id="rId122" w:tooltip="Filipiny" w:history="1">
        <w:r w:rsidRPr="00012E60">
          <w:rPr>
            <w:rStyle w:val="Hipercze"/>
            <w:rFonts w:ascii="Arial" w:hAnsi="Arial" w:cs="Arial"/>
            <w:color w:val="auto"/>
            <w:u w:val="none"/>
          </w:rPr>
          <w:t>Filipin</w:t>
        </w:r>
      </w:hyperlink>
      <w:r w:rsidRPr="00012E60">
        <w:rPr>
          <w:rFonts w:ascii="Arial" w:hAnsi="Arial" w:cs="Arial"/>
        </w:rPr>
        <w:t> , </w:t>
      </w:r>
      <w:hyperlink r:id="rId123" w:tooltip="Korea Południowa" w:history="1">
        <w:r w:rsidRPr="00012E60">
          <w:rPr>
            <w:rStyle w:val="Hipercze"/>
            <w:rFonts w:ascii="Arial" w:hAnsi="Arial" w:cs="Arial"/>
            <w:color w:val="auto"/>
            <w:u w:val="none"/>
          </w:rPr>
          <w:t>Korei Południowej</w:t>
        </w:r>
      </w:hyperlink>
      <w:r w:rsidRPr="00012E60">
        <w:rPr>
          <w:rFonts w:ascii="Arial" w:hAnsi="Arial" w:cs="Arial"/>
        </w:rPr>
        <w:t> , </w:t>
      </w:r>
      <w:hyperlink r:id="rId124" w:tooltip="Indyk" w:history="1">
        <w:r w:rsidRPr="00012E60">
          <w:rPr>
            <w:rStyle w:val="Hipercze"/>
            <w:rFonts w:ascii="Arial" w:hAnsi="Arial" w:cs="Arial"/>
            <w:color w:val="auto"/>
            <w:u w:val="none"/>
          </w:rPr>
          <w:t>Turcji</w:t>
        </w:r>
      </w:hyperlink>
      <w:r w:rsidRPr="00012E60">
        <w:rPr>
          <w:rFonts w:ascii="Arial" w:hAnsi="Arial" w:cs="Arial"/>
        </w:rPr>
        <w:t> i </w:t>
      </w:r>
      <w:hyperlink r:id="rId125" w:tooltip="Wietnam" w:history="1">
        <w:r w:rsidRPr="00012E60">
          <w:rPr>
            <w:rStyle w:val="Hipercze"/>
            <w:rFonts w:ascii="Arial" w:hAnsi="Arial" w:cs="Arial"/>
            <w:color w:val="auto"/>
            <w:u w:val="none"/>
          </w:rPr>
          <w:t>Wietnamu</w:t>
        </w:r>
      </w:hyperlink>
      <w:r w:rsidRPr="00012E60">
        <w:rPr>
          <w:rFonts w:ascii="Arial" w:hAnsi="Arial" w:cs="Arial"/>
        </w:rPr>
        <w:t xml:space="preserve"> , argumentując, że będą one jednymi z największych gospodarek świata w XXI wieku. Następnie O'Neill użył terminu MIKT dla Meksyku, Indonezji, Korei Południowej i Turcji. MINT to kolejny akronim wymyślony przez O'Neilla oznaczający Meksyk, Indonezję, Nigerię i Turcję.  </w:t>
      </w:r>
    </w:p>
    <w:p w:rsidR="00012E60" w:rsidRDefault="00012E60">
      <w:pPr>
        <w:rPr>
          <w:rFonts w:ascii="inherit" w:eastAsiaTheme="majorEastAsia" w:hAnsi="inherit" w:cs="Arial"/>
          <w:color w:val="1F4D78" w:themeColor="accent1" w:themeShade="7F"/>
          <w:sz w:val="24"/>
          <w:szCs w:val="24"/>
        </w:rPr>
      </w:pPr>
      <w:r>
        <w:rPr>
          <w:rFonts w:ascii="inherit" w:hAnsi="inherit" w:cs="Arial"/>
        </w:rPr>
        <w:br w:type="page"/>
      </w:r>
    </w:p>
    <w:p w:rsidR="00012E60" w:rsidRPr="00012E60" w:rsidRDefault="00012E60" w:rsidP="00012E60">
      <w:pPr>
        <w:pStyle w:val="Nagwek3"/>
        <w:shd w:val="clear" w:color="auto" w:fill="FFFFFF"/>
        <w:spacing w:before="0" w:after="60" w:line="360" w:lineRule="auto"/>
        <w:jc w:val="both"/>
        <w:rPr>
          <w:rFonts w:ascii="Arial" w:hAnsi="Arial" w:cs="Arial"/>
          <w:b/>
          <w:color w:val="auto"/>
        </w:rPr>
      </w:pPr>
      <w:r w:rsidRPr="00012E60">
        <w:rPr>
          <w:rFonts w:ascii="Arial" w:hAnsi="Arial" w:cs="Arial"/>
          <w:b/>
          <w:color w:val="auto"/>
        </w:rPr>
        <w:lastRenderedPageBreak/>
        <w:t>Meksyk</w:t>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 xml:space="preserve">Przede wszystkim, oprócz </w:t>
      </w:r>
      <w:proofErr w:type="spellStart"/>
      <w:r w:rsidRPr="00012E60">
        <w:rPr>
          <w:rFonts w:ascii="Arial" w:hAnsi="Arial" w:cs="Arial"/>
        </w:rPr>
        <w:t>BRICs</w:t>
      </w:r>
      <w:proofErr w:type="spellEnd"/>
      <w:r w:rsidRPr="00012E60">
        <w:rPr>
          <w:rFonts w:ascii="Arial" w:hAnsi="Arial" w:cs="Arial"/>
        </w:rPr>
        <w:t xml:space="preserve">, Goldman </w:t>
      </w:r>
      <w:proofErr w:type="spellStart"/>
      <w:r w:rsidRPr="00012E60">
        <w:rPr>
          <w:rFonts w:ascii="Arial" w:hAnsi="Arial" w:cs="Arial"/>
        </w:rPr>
        <w:t>Sachs</w:t>
      </w:r>
      <w:proofErr w:type="spellEnd"/>
      <w:r w:rsidRPr="00012E60">
        <w:rPr>
          <w:rFonts w:ascii="Arial" w:hAnsi="Arial" w:cs="Arial"/>
        </w:rPr>
        <w:t xml:space="preserve"> twierdzi, że potencjał gospodarczy Brazylii, Rosji, Indii, Meksyku i </w:t>
      </w:r>
      <w:hyperlink r:id="rId126" w:tooltip="Chiny" w:history="1">
        <w:r w:rsidRPr="00012E60">
          <w:rPr>
            <w:rStyle w:val="Hipercze"/>
            <w:rFonts w:ascii="Arial" w:hAnsi="Arial" w:cs="Arial"/>
            <w:color w:val="auto"/>
            <w:u w:val="none"/>
          </w:rPr>
          <w:t>Chin</w:t>
        </w:r>
      </w:hyperlink>
      <w:r w:rsidRPr="00012E60">
        <w:rPr>
          <w:rFonts w:ascii="Arial" w:hAnsi="Arial" w:cs="Arial"/>
        </w:rPr>
        <w:t> jest taki, że mogą one stać się (wraz ze Stanami Zjednoczonymi) sześcioma najbardziej dominującymi gospodarkami do 2050 roku. Ze względu na szybko rozwijającą się infrastrukturę Meksyku, rosnącą klasę średnią i szybko spadający wskaźnik ubóstwa, oczekuje się, że do 2050 roku Meksyk będzie miał wyższy PKB na mieszkańca niż wszystkie kraje europejskie oprócz trzech, to nowo odkryte lokalne bogactwo przyczynia się również do gospodarki kraju, tworząc duży krajowy rynek konsumencki, który z kolei tworzy więcej miejsc pracy.</w:t>
      </w:r>
    </w:p>
    <w:tbl>
      <w:tblPr>
        <w:tblW w:w="8159" w:type="dxa"/>
        <w:tblCellMar>
          <w:top w:w="15" w:type="dxa"/>
          <w:left w:w="15" w:type="dxa"/>
          <w:bottom w:w="15" w:type="dxa"/>
          <w:right w:w="15" w:type="dxa"/>
        </w:tblCellMar>
        <w:tblLook w:val="04A0" w:firstRow="1" w:lastRow="0" w:firstColumn="1" w:lastColumn="0" w:noHBand="0" w:noVBand="1"/>
      </w:tblPr>
      <w:tblGrid>
        <w:gridCol w:w="4421"/>
        <w:gridCol w:w="3738"/>
      </w:tblGrid>
      <w:tr w:rsidR="00012E60" w:rsidTr="00012E60">
        <w:trPr>
          <w:trHeight w:val="735"/>
        </w:trPr>
        <w:tc>
          <w:tcPr>
            <w:tcW w:w="0" w:type="auto"/>
            <w:gridSpan w:val="2"/>
            <w:tcBorders>
              <w:top w:val="nil"/>
              <w:left w:val="nil"/>
              <w:bottom w:val="nil"/>
              <w:right w:val="nil"/>
            </w:tcBorders>
            <w:tcMar>
              <w:top w:w="48" w:type="dxa"/>
              <w:left w:w="96" w:type="dxa"/>
              <w:bottom w:w="48" w:type="dxa"/>
              <w:right w:w="96" w:type="dxa"/>
            </w:tcMar>
            <w:vAlign w:val="center"/>
            <w:hideMark/>
          </w:tcPr>
          <w:p w:rsidR="00012E60" w:rsidRDefault="00012E60" w:rsidP="00012E60">
            <w:pPr>
              <w:spacing w:after="240"/>
              <w:jc w:val="center"/>
              <w:rPr>
                <w:rFonts w:ascii="Arial" w:hAnsi="Arial" w:cs="Arial"/>
                <w:b/>
                <w:bCs/>
                <w:color w:val="202122"/>
                <w:sz w:val="24"/>
                <w:szCs w:val="24"/>
              </w:rPr>
            </w:pPr>
            <w:r>
              <w:rPr>
                <w:rFonts w:ascii="Arial" w:hAnsi="Arial" w:cs="Arial"/>
                <w:b/>
                <w:bCs/>
                <w:color w:val="202122"/>
              </w:rPr>
              <w:t>Prognoza gospodarki Meksyku w 2050 r. </w:t>
            </w:r>
            <w:r>
              <w:rPr>
                <w:rFonts w:ascii="Arial" w:hAnsi="Arial" w:cs="Arial"/>
                <w:b/>
                <w:bCs/>
                <w:color w:val="202122"/>
                <w:sz w:val="24"/>
                <w:szCs w:val="24"/>
              </w:rPr>
              <w:t xml:space="preserve"> </w:t>
            </w:r>
          </w:p>
        </w:tc>
      </w:tr>
      <w:tr w:rsidR="00012E60" w:rsidRPr="00012E60" w:rsidTr="00012E60">
        <w:trPr>
          <w:trHeight w:val="714"/>
        </w:trPr>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hyperlink r:id="rId127" w:tooltip="PKB" w:history="1">
              <w:r w:rsidRPr="00012E60">
                <w:rPr>
                  <w:rStyle w:val="Hipercze"/>
                  <w:rFonts w:ascii="Arial" w:hAnsi="Arial" w:cs="Arial"/>
                  <w:color w:val="auto"/>
                  <w:u w:val="none"/>
                </w:rPr>
                <w:t>PKB</w:t>
              </w:r>
            </w:hyperlink>
            <w:r w:rsidRPr="00012E60">
              <w:rPr>
                <w:rFonts w:ascii="Arial" w:hAnsi="Arial" w:cs="Arial"/>
              </w:rPr>
              <w:t> w </w:t>
            </w:r>
            <w:hyperlink r:id="rId128" w:tooltip="USD" w:history="1">
              <w:r w:rsidRPr="00012E60">
                <w:rPr>
                  <w:rStyle w:val="Hipercze"/>
                  <w:rFonts w:ascii="Arial" w:hAnsi="Arial" w:cs="Arial"/>
                  <w:color w:val="auto"/>
                  <w:u w:val="none"/>
                </w:rPr>
                <w:t>USD</w:t>
              </w:r>
            </w:hyperlink>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9,340 biliona dolarów</w:t>
            </w:r>
          </w:p>
        </w:tc>
      </w:tr>
      <w:tr w:rsidR="00012E60" w:rsidRPr="00012E60" w:rsidTr="00012E60">
        <w:trPr>
          <w:trHeight w:val="735"/>
        </w:trPr>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hyperlink r:id="rId129" w:tooltip="PKB na mieszkańca" w:history="1">
              <w:r w:rsidRPr="00012E60">
                <w:rPr>
                  <w:rStyle w:val="Hipercze"/>
                  <w:rFonts w:ascii="Arial" w:hAnsi="Arial" w:cs="Arial"/>
                  <w:color w:val="auto"/>
                  <w:u w:val="none"/>
                </w:rPr>
                <w:t>PKB na mieszkańca</w:t>
              </w:r>
            </w:hyperlink>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63 149 dolarów</w:t>
            </w:r>
          </w:p>
        </w:tc>
      </w:tr>
      <w:tr w:rsidR="00012E60" w:rsidRPr="00012E60" w:rsidTr="00012E60">
        <w:trPr>
          <w:trHeight w:val="714"/>
        </w:trPr>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hyperlink r:id="rId130" w:tooltip="Wzrost PKB" w:history="1">
              <w:r w:rsidRPr="00012E60">
                <w:rPr>
                  <w:rStyle w:val="Hipercze"/>
                  <w:rFonts w:ascii="Arial" w:hAnsi="Arial" w:cs="Arial"/>
                  <w:color w:val="auto"/>
                  <w:u w:val="none"/>
                </w:rPr>
                <w:t>Wzrost PKB</w:t>
              </w:r>
            </w:hyperlink>
            <w:r w:rsidRPr="00012E60">
              <w:rPr>
                <w:rFonts w:ascii="Arial" w:hAnsi="Arial" w:cs="Arial"/>
              </w:rPr>
              <w:t> (2015–2050)</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4,0%</w:t>
            </w:r>
          </w:p>
        </w:tc>
      </w:tr>
      <w:tr w:rsidR="00012E60" w:rsidRPr="00012E60" w:rsidTr="00012E60">
        <w:trPr>
          <w:trHeight w:val="735"/>
        </w:trPr>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hyperlink r:id="rId131" w:tooltip="Populacja" w:history="1">
              <w:r w:rsidRPr="00012E60">
                <w:rPr>
                  <w:rStyle w:val="Hipercze"/>
                  <w:rFonts w:ascii="Arial" w:hAnsi="Arial" w:cs="Arial"/>
                  <w:color w:val="auto"/>
                  <w:u w:val="none"/>
                </w:rPr>
                <w:t>Całkowita populacja</w:t>
              </w:r>
            </w:hyperlink>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142 miliony</w:t>
            </w:r>
          </w:p>
        </w:tc>
      </w:tr>
    </w:tbl>
    <w:p w:rsidR="00012E60" w:rsidRDefault="00012E60" w:rsidP="00012E60">
      <w:pPr>
        <w:pStyle w:val="Nagwek3"/>
        <w:shd w:val="clear" w:color="auto" w:fill="FFFFFF"/>
        <w:spacing w:before="0" w:after="60"/>
        <w:rPr>
          <w:rFonts w:ascii="inherit" w:hAnsi="inherit" w:cs="Arial"/>
        </w:rPr>
      </w:pPr>
    </w:p>
    <w:p w:rsidR="00012E60" w:rsidRDefault="00012E60">
      <w:pPr>
        <w:rPr>
          <w:rFonts w:ascii="inherit" w:eastAsiaTheme="majorEastAsia" w:hAnsi="inherit" w:cs="Arial"/>
          <w:color w:val="1F4D78" w:themeColor="accent1" w:themeShade="7F"/>
          <w:sz w:val="24"/>
          <w:szCs w:val="24"/>
        </w:rPr>
      </w:pPr>
      <w:r>
        <w:rPr>
          <w:rFonts w:ascii="inherit" w:hAnsi="inherit" w:cs="Arial"/>
        </w:rPr>
        <w:br w:type="page"/>
      </w:r>
    </w:p>
    <w:p w:rsidR="00012E60" w:rsidRPr="00224F93" w:rsidRDefault="00012E60" w:rsidP="00012E60">
      <w:pPr>
        <w:pStyle w:val="Nagwek3"/>
        <w:shd w:val="clear" w:color="auto" w:fill="FFFFFF"/>
        <w:spacing w:before="0" w:after="60" w:line="360" w:lineRule="auto"/>
        <w:jc w:val="both"/>
        <w:rPr>
          <w:rFonts w:ascii="Arial" w:hAnsi="Arial" w:cs="Arial"/>
          <w:b/>
          <w:color w:val="auto"/>
        </w:rPr>
      </w:pPr>
      <w:r w:rsidRPr="00224F93">
        <w:rPr>
          <w:rFonts w:ascii="Arial" w:hAnsi="Arial" w:cs="Arial"/>
          <w:b/>
          <w:color w:val="auto"/>
        </w:rPr>
        <w:lastRenderedPageBreak/>
        <w:t>Korea Południowa</w:t>
      </w:r>
    </w:p>
    <w:p w:rsid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 xml:space="preserve">Komentatorzy tacy jak William </w:t>
      </w:r>
      <w:proofErr w:type="spellStart"/>
      <w:r w:rsidRPr="00012E60">
        <w:rPr>
          <w:rFonts w:ascii="Arial" w:hAnsi="Arial" w:cs="Arial"/>
        </w:rPr>
        <w:t>Pesek</w:t>
      </w:r>
      <w:proofErr w:type="spellEnd"/>
      <w:r w:rsidRPr="00012E60">
        <w:rPr>
          <w:rFonts w:ascii="Arial" w:hAnsi="Arial" w:cs="Arial"/>
        </w:rPr>
        <w:t xml:space="preserve"> z </w:t>
      </w:r>
      <w:proofErr w:type="spellStart"/>
      <w:r w:rsidRPr="00012E60">
        <w:rPr>
          <w:rFonts w:ascii="Arial" w:hAnsi="Arial" w:cs="Arial"/>
        </w:rPr>
        <w:fldChar w:fldCharType="begin"/>
      </w:r>
      <w:r w:rsidRPr="00012E60">
        <w:rPr>
          <w:rFonts w:ascii="Arial" w:hAnsi="Arial" w:cs="Arial"/>
        </w:rPr>
        <w:instrText xml:space="preserve"> HYPERLINK "https://en.wikipedia.org/wiki/Bloomberg_L.P." \o "Bloomberg LP" </w:instrText>
      </w:r>
      <w:r w:rsidRPr="00012E60">
        <w:rPr>
          <w:rFonts w:ascii="Arial" w:hAnsi="Arial" w:cs="Arial"/>
        </w:rPr>
        <w:fldChar w:fldCharType="separate"/>
      </w:r>
      <w:r w:rsidRPr="00012E60">
        <w:rPr>
          <w:rStyle w:val="Hipercze"/>
          <w:rFonts w:ascii="Arial" w:hAnsi="Arial" w:cs="Arial"/>
          <w:color w:val="auto"/>
          <w:u w:val="none"/>
        </w:rPr>
        <w:t>Bloomberga</w:t>
      </w:r>
      <w:proofErr w:type="spellEnd"/>
      <w:r w:rsidRPr="00012E60">
        <w:rPr>
          <w:rFonts w:ascii="Arial" w:hAnsi="Arial" w:cs="Arial"/>
        </w:rPr>
        <w:fldChar w:fldCharType="end"/>
      </w:r>
      <w:r w:rsidRPr="00012E60">
        <w:rPr>
          <w:rFonts w:ascii="Arial" w:hAnsi="Arial" w:cs="Arial"/>
        </w:rPr>
        <w:t xml:space="preserve"> twierdzą, że Korea jest „kolejnym 'BRIC' w Globalnym Murze”, sugerując, że wyróżnia się na tle gospodarek </w:t>
      </w:r>
      <w:proofErr w:type="spellStart"/>
      <w:r w:rsidRPr="00012E60">
        <w:rPr>
          <w:rFonts w:ascii="Arial" w:hAnsi="Arial" w:cs="Arial"/>
        </w:rPr>
        <w:t>Next</w:t>
      </w:r>
      <w:proofErr w:type="spellEnd"/>
      <w:r w:rsidRPr="00012E60">
        <w:rPr>
          <w:rFonts w:ascii="Arial" w:hAnsi="Arial" w:cs="Arial"/>
        </w:rPr>
        <w:t xml:space="preserve"> </w:t>
      </w:r>
      <w:proofErr w:type="spellStart"/>
      <w:r w:rsidRPr="00012E60">
        <w:rPr>
          <w:rFonts w:ascii="Arial" w:hAnsi="Arial" w:cs="Arial"/>
        </w:rPr>
        <w:t>Eleven</w:t>
      </w:r>
      <w:proofErr w:type="spellEnd"/>
      <w:r w:rsidRPr="00012E60">
        <w:rPr>
          <w:rFonts w:ascii="Arial" w:hAnsi="Arial" w:cs="Arial"/>
        </w:rPr>
        <w:t xml:space="preserve"> swoim tempem wzrostu podobnym do BRIC, pomimo że jej </w:t>
      </w:r>
      <w:hyperlink r:id="rId132" w:tooltip="Wskaźnik rozwoju społecznego" w:history="1">
        <w:r w:rsidRPr="00012E60">
          <w:rPr>
            <w:rStyle w:val="Hipercze"/>
            <w:rFonts w:ascii="Arial" w:hAnsi="Arial" w:cs="Arial"/>
            <w:color w:val="auto"/>
            <w:u w:val="none"/>
          </w:rPr>
          <w:t>Wskaźnik Rozwoju Społecznego</w:t>
        </w:r>
      </w:hyperlink>
      <w:r w:rsidRPr="00012E60">
        <w:rPr>
          <w:rFonts w:ascii="Arial" w:hAnsi="Arial" w:cs="Arial"/>
        </w:rPr>
        <w:t> jest wyższy niż w niektórych z najbardziej zaawansowanych gospodarek świata, w tym </w:t>
      </w:r>
      <w:hyperlink r:id="rId133" w:tooltip="Francja" w:history="1">
        <w:r w:rsidRPr="00012E60">
          <w:rPr>
            <w:rStyle w:val="Hipercze"/>
            <w:rFonts w:ascii="Arial" w:hAnsi="Arial" w:cs="Arial"/>
            <w:color w:val="auto"/>
            <w:u w:val="none"/>
          </w:rPr>
          <w:t>Francji</w:t>
        </w:r>
      </w:hyperlink>
      <w:r w:rsidRPr="00012E60">
        <w:rPr>
          <w:rFonts w:ascii="Arial" w:hAnsi="Arial" w:cs="Arial"/>
        </w:rPr>
        <w:t> , </w:t>
      </w:r>
      <w:hyperlink r:id="rId134" w:tooltip="Zjednoczone Królestwo" w:history="1">
        <w:r w:rsidRPr="00012E60">
          <w:rPr>
            <w:rStyle w:val="Hipercze"/>
            <w:rFonts w:ascii="Arial" w:hAnsi="Arial" w:cs="Arial"/>
            <w:color w:val="auto"/>
            <w:u w:val="none"/>
          </w:rPr>
          <w:t>Wielkiej Brytanii</w:t>
        </w:r>
      </w:hyperlink>
      <w:r w:rsidRPr="00012E60">
        <w:rPr>
          <w:rFonts w:ascii="Arial" w:hAnsi="Arial" w:cs="Arial"/>
        </w:rPr>
        <w:t> , </w:t>
      </w:r>
      <w:hyperlink r:id="rId135" w:tooltip="Austria" w:history="1">
        <w:r w:rsidRPr="00012E60">
          <w:rPr>
            <w:rStyle w:val="Hipercze"/>
            <w:rFonts w:ascii="Arial" w:hAnsi="Arial" w:cs="Arial"/>
            <w:color w:val="auto"/>
            <w:u w:val="none"/>
          </w:rPr>
          <w:t>Austrii</w:t>
        </w:r>
      </w:hyperlink>
      <w:r w:rsidRPr="00012E60">
        <w:rPr>
          <w:rFonts w:ascii="Arial" w:hAnsi="Arial" w:cs="Arial"/>
        </w:rPr>
        <w:t> , </w:t>
      </w:r>
      <w:hyperlink r:id="rId136" w:tooltip="Dania" w:history="1">
        <w:r w:rsidRPr="00012E60">
          <w:rPr>
            <w:rStyle w:val="Hipercze"/>
            <w:rFonts w:ascii="Arial" w:hAnsi="Arial" w:cs="Arial"/>
            <w:color w:val="auto"/>
            <w:u w:val="none"/>
          </w:rPr>
          <w:t>Danii</w:t>
        </w:r>
      </w:hyperlink>
      <w:r w:rsidRPr="00012E60">
        <w:rPr>
          <w:rFonts w:ascii="Arial" w:hAnsi="Arial" w:cs="Arial"/>
        </w:rPr>
        <w:t> , </w:t>
      </w:r>
      <w:hyperlink r:id="rId137" w:tooltip="Finlandia" w:history="1">
        <w:r w:rsidRPr="00012E60">
          <w:rPr>
            <w:rStyle w:val="Hipercze"/>
            <w:rFonts w:ascii="Arial" w:hAnsi="Arial" w:cs="Arial"/>
            <w:color w:val="auto"/>
            <w:u w:val="none"/>
          </w:rPr>
          <w:t>Finlandii</w:t>
        </w:r>
      </w:hyperlink>
      <w:r w:rsidRPr="00012E60">
        <w:rPr>
          <w:rFonts w:ascii="Arial" w:hAnsi="Arial" w:cs="Arial"/>
        </w:rPr>
        <w:t> i </w:t>
      </w:r>
      <w:hyperlink r:id="rId138" w:tooltip="Belgia" w:history="1">
        <w:r w:rsidRPr="00012E60">
          <w:rPr>
            <w:rStyle w:val="Hipercze"/>
            <w:rFonts w:ascii="Arial" w:hAnsi="Arial" w:cs="Arial"/>
            <w:color w:val="auto"/>
            <w:u w:val="none"/>
          </w:rPr>
          <w:t>Belgii</w:t>
        </w:r>
      </w:hyperlink>
      <w:r w:rsidRPr="00012E60">
        <w:rPr>
          <w:rFonts w:ascii="Arial" w:hAnsi="Arial" w:cs="Arial"/>
        </w:rPr>
        <w:t xml:space="preserve"> . </w:t>
      </w:r>
    </w:p>
    <w:p w:rsid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Pracownicy z Korei Południowej są najbogatsi wśród głównych krajów azjatyckich, mają wyższe dochody niż </w:t>
      </w:r>
      <w:hyperlink r:id="rId139" w:tooltip="Japonia" w:history="1">
        <w:r w:rsidRPr="00012E60">
          <w:rPr>
            <w:rStyle w:val="Hipercze"/>
            <w:rFonts w:ascii="Arial" w:hAnsi="Arial" w:cs="Arial"/>
            <w:color w:val="auto"/>
            <w:u w:val="none"/>
          </w:rPr>
          <w:t>Japonia</w:t>
        </w:r>
      </w:hyperlink>
      <w:r w:rsidRPr="00012E60">
        <w:rPr>
          <w:rFonts w:ascii="Arial" w:hAnsi="Arial" w:cs="Arial"/>
        </w:rPr>
        <w:t> i najsilniejszy wskaźnik wzrostu w </w:t>
      </w:r>
      <w:hyperlink r:id="rId140" w:tooltip="OECD" w:history="1">
        <w:r w:rsidRPr="00012E60">
          <w:rPr>
            <w:rStyle w:val="Hipercze"/>
            <w:rFonts w:ascii="Arial" w:hAnsi="Arial" w:cs="Arial"/>
            <w:color w:val="auto"/>
            <w:u w:val="none"/>
          </w:rPr>
          <w:t>OECD</w:t>
        </w:r>
      </w:hyperlink>
      <w:r w:rsidRPr="00012E60">
        <w:rPr>
          <w:rFonts w:ascii="Arial" w:hAnsi="Arial" w:cs="Arial"/>
        </w:rPr>
        <w:t xml:space="preserve"> . Co ważniejsze, ma znacznie wyższy Wskaźnik Środowiska Wzrostu (sposób Goldman </w:t>
      </w:r>
      <w:proofErr w:type="spellStart"/>
      <w:r w:rsidRPr="00012E60">
        <w:rPr>
          <w:rFonts w:ascii="Arial" w:hAnsi="Arial" w:cs="Arial"/>
        </w:rPr>
        <w:t>Sachs</w:t>
      </w:r>
      <w:proofErr w:type="spellEnd"/>
      <w:r w:rsidRPr="00012E60">
        <w:rPr>
          <w:rFonts w:ascii="Arial" w:hAnsi="Arial" w:cs="Arial"/>
        </w:rPr>
        <w:t xml:space="preserve"> na mierzenie długoterminowej stabilności wzrostu) niż wszystkie kraje BRIC lub N-11. </w:t>
      </w:r>
    </w:p>
    <w:p w:rsid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Według </w:t>
      </w:r>
      <w:hyperlink r:id="rId141" w:tooltip="MFW" w:history="1">
        <w:r w:rsidRPr="00012E60">
          <w:rPr>
            <w:rStyle w:val="Hipercze"/>
            <w:rFonts w:ascii="Arial" w:hAnsi="Arial" w:cs="Arial"/>
            <w:color w:val="auto"/>
            <w:u w:val="none"/>
          </w:rPr>
          <w:t>MFW </w:t>
        </w:r>
      </w:hyperlink>
      <w:hyperlink r:id="rId142" w:tooltip="PKB" w:history="1">
        <w:r w:rsidRPr="00012E60">
          <w:rPr>
            <w:rStyle w:val="Hipercze"/>
            <w:rFonts w:ascii="Arial" w:hAnsi="Arial" w:cs="Arial"/>
            <w:color w:val="auto"/>
            <w:u w:val="none"/>
          </w:rPr>
          <w:t>PKB</w:t>
        </w:r>
      </w:hyperlink>
      <w:r w:rsidRPr="00012E60">
        <w:rPr>
          <w:rFonts w:ascii="Arial" w:hAnsi="Arial" w:cs="Arial"/>
        </w:rPr>
        <w:t> Korei Południowej mierzony </w:t>
      </w:r>
      <w:hyperlink r:id="rId143" w:tooltip="Parytet siły nabywczej" w:history="1">
        <w:r w:rsidRPr="00012E60">
          <w:rPr>
            <w:rStyle w:val="Hipercze"/>
            <w:rFonts w:ascii="Arial" w:hAnsi="Arial" w:cs="Arial"/>
            <w:color w:val="auto"/>
            <w:u w:val="none"/>
          </w:rPr>
          <w:t>parytetem siły nabywczej</w:t>
        </w:r>
      </w:hyperlink>
      <w:r w:rsidRPr="00012E60">
        <w:rPr>
          <w:rFonts w:ascii="Arial" w:hAnsi="Arial" w:cs="Arial"/>
        </w:rPr>
        <w:t> jest już większy niż </w:t>
      </w:r>
      <w:hyperlink r:id="rId144" w:tooltip="Kanada" w:history="1">
        <w:r w:rsidRPr="00012E60">
          <w:rPr>
            <w:rStyle w:val="Hipercze"/>
            <w:rFonts w:ascii="Arial" w:hAnsi="Arial" w:cs="Arial"/>
            <w:color w:val="auto"/>
            <w:u w:val="none"/>
          </w:rPr>
          <w:t>Kanady</w:t>
        </w:r>
      </w:hyperlink>
      <w:r w:rsidRPr="00012E60">
        <w:rPr>
          <w:rFonts w:ascii="Arial" w:hAnsi="Arial" w:cs="Arial"/>
        </w:rPr>
        <w:t> i </w:t>
      </w:r>
      <w:hyperlink r:id="rId145" w:tooltip="Hiszpania" w:history="1">
        <w:r w:rsidRPr="00012E60">
          <w:rPr>
            <w:rStyle w:val="Hipercze"/>
            <w:rFonts w:ascii="Arial" w:hAnsi="Arial" w:cs="Arial"/>
            <w:color w:val="auto"/>
            <w:u w:val="none"/>
          </w:rPr>
          <w:t>Hiszpanii</w:t>
        </w:r>
      </w:hyperlink>
      <w:r w:rsidRPr="00012E60">
        <w:rPr>
          <w:rFonts w:ascii="Arial" w:hAnsi="Arial" w:cs="Arial"/>
        </w:rPr>
        <w:t> . Jeśli chodzi o </w:t>
      </w:r>
      <w:hyperlink r:id="rId146" w:tooltip="Lista krajów według przeszłego i przyszłego PKB (PPP) na mieszkańca" w:history="1">
        <w:r w:rsidRPr="00012E60">
          <w:rPr>
            <w:rStyle w:val="Hipercze"/>
            <w:rFonts w:ascii="Arial" w:hAnsi="Arial" w:cs="Arial"/>
            <w:color w:val="auto"/>
            <w:u w:val="none"/>
          </w:rPr>
          <w:t>PKB na mieszkańca (PPP)</w:t>
        </w:r>
      </w:hyperlink>
      <w:r w:rsidRPr="00012E60">
        <w:rPr>
          <w:rFonts w:ascii="Arial" w:hAnsi="Arial" w:cs="Arial"/>
        </w:rPr>
        <w:t> , Korea Południowa wyprzedziła </w:t>
      </w:r>
      <w:hyperlink r:id="rId147" w:tooltip="Hiszpania" w:history="1">
        <w:r w:rsidRPr="00012E60">
          <w:rPr>
            <w:rStyle w:val="Hipercze"/>
            <w:rFonts w:ascii="Arial" w:hAnsi="Arial" w:cs="Arial"/>
            <w:color w:val="auto"/>
            <w:u w:val="none"/>
          </w:rPr>
          <w:t>Hiszpanię</w:t>
        </w:r>
      </w:hyperlink>
      <w:r w:rsidRPr="00012E60">
        <w:rPr>
          <w:rFonts w:ascii="Arial" w:hAnsi="Arial" w:cs="Arial"/>
        </w:rPr>
        <w:t> w 2010 roku. </w:t>
      </w:r>
    </w:p>
    <w:p w:rsid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Według Citibanku, Korea Południowa do 2020 roku wyprzedzi </w:t>
      </w:r>
      <w:hyperlink r:id="rId148" w:tooltip="Niemcy" w:history="1">
        <w:r w:rsidRPr="00012E60">
          <w:rPr>
            <w:rStyle w:val="Hipercze"/>
            <w:rFonts w:ascii="Arial" w:hAnsi="Arial" w:cs="Arial"/>
            <w:color w:val="auto"/>
            <w:u w:val="none"/>
          </w:rPr>
          <w:t>Niemcy</w:t>
        </w:r>
      </w:hyperlink>
      <w:r w:rsidRPr="00012E60">
        <w:rPr>
          <w:rFonts w:ascii="Arial" w:hAnsi="Arial" w:cs="Arial"/>
        </w:rPr>
        <w:t> , </w:t>
      </w:r>
      <w:hyperlink r:id="rId149" w:tooltip="Zjednoczone Królestwo" w:history="1">
        <w:r w:rsidRPr="00012E60">
          <w:rPr>
            <w:rStyle w:val="Hipercze"/>
            <w:rFonts w:ascii="Arial" w:hAnsi="Arial" w:cs="Arial"/>
            <w:color w:val="auto"/>
            <w:u w:val="none"/>
          </w:rPr>
          <w:t>Wielką Brytanię</w:t>
        </w:r>
      </w:hyperlink>
      <w:r w:rsidRPr="00012E60">
        <w:rPr>
          <w:rFonts w:ascii="Arial" w:hAnsi="Arial" w:cs="Arial"/>
        </w:rPr>
        <w:t> , </w:t>
      </w:r>
      <w:hyperlink r:id="rId150" w:tooltip="Australia" w:history="1">
        <w:r w:rsidRPr="00012E60">
          <w:rPr>
            <w:rStyle w:val="Hipercze"/>
            <w:rFonts w:ascii="Arial" w:hAnsi="Arial" w:cs="Arial"/>
            <w:color w:val="auto"/>
            <w:u w:val="none"/>
          </w:rPr>
          <w:t>Australię</w:t>
        </w:r>
      </w:hyperlink>
      <w:r w:rsidRPr="00012E60">
        <w:rPr>
          <w:rFonts w:ascii="Arial" w:hAnsi="Arial" w:cs="Arial"/>
        </w:rPr>
        <w:t> i </w:t>
      </w:r>
      <w:hyperlink r:id="rId151" w:tooltip="Szwecja" w:history="1">
        <w:r w:rsidRPr="00012E60">
          <w:rPr>
            <w:rStyle w:val="Hipercze"/>
            <w:rFonts w:ascii="Arial" w:hAnsi="Arial" w:cs="Arial"/>
            <w:color w:val="auto"/>
            <w:u w:val="none"/>
          </w:rPr>
          <w:t>Szwecję</w:t>
        </w:r>
      </w:hyperlink>
      <w:r w:rsidRPr="00012E60">
        <w:rPr>
          <w:rFonts w:ascii="Arial" w:hAnsi="Arial" w:cs="Arial"/>
        </w:rPr>
        <w:t xml:space="preserve"> , a do 2030 roku </w:t>
      </w:r>
      <w:r>
        <w:rPr>
          <w:rFonts w:ascii="Arial" w:hAnsi="Arial" w:cs="Arial"/>
        </w:rPr>
        <w:t>p</w:t>
      </w:r>
      <w:r w:rsidRPr="00012E60">
        <w:rPr>
          <w:rFonts w:ascii="Arial" w:hAnsi="Arial" w:cs="Arial"/>
        </w:rPr>
        <w:t>rześcignie </w:t>
      </w:r>
      <w:hyperlink r:id="rId152" w:tooltip="Kanada" w:history="1">
        <w:r w:rsidRPr="00012E60">
          <w:rPr>
            <w:rStyle w:val="Hipercze"/>
            <w:rFonts w:ascii="Arial" w:hAnsi="Arial" w:cs="Arial"/>
            <w:color w:val="auto"/>
            <w:u w:val="none"/>
          </w:rPr>
          <w:t>Kanadę</w:t>
        </w:r>
      </w:hyperlink>
      <w:r w:rsidRPr="00012E60">
        <w:rPr>
          <w:rFonts w:ascii="Arial" w:hAnsi="Arial" w:cs="Arial"/>
        </w:rPr>
        <w:t> , </w:t>
      </w:r>
      <w:hyperlink r:id="rId153" w:tooltip="Szwajcaria" w:history="1">
        <w:r w:rsidRPr="00012E60">
          <w:rPr>
            <w:rStyle w:val="Hipercze"/>
            <w:rFonts w:ascii="Arial" w:hAnsi="Arial" w:cs="Arial"/>
            <w:color w:val="auto"/>
            <w:u w:val="none"/>
          </w:rPr>
          <w:t>Szwajcarię</w:t>
        </w:r>
      </w:hyperlink>
      <w:r w:rsidRPr="00012E60">
        <w:rPr>
          <w:rFonts w:ascii="Arial" w:hAnsi="Arial" w:cs="Arial"/>
        </w:rPr>
        <w:t> , </w:t>
      </w:r>
      <w:hyperlink r:id="rId154" w:tooltip="Niderlandy" w:history="1">
        <w:r w:rsidRPr="00012E60">
          <w:rPr>
            <w:rStyle w:val="Hipercze"/>
            <w:rFonts w:ascii="Arial" w:hAnsi="Arial" w:cs="Arial"/>
            <w:color w:val="auto"/>
            <w:u w:val="none"/>
          </w:rPr>
          <w:t>Holandię</w:t>
        </w:r>
      </w:hyperlink>
      <w:r w:rsidRPr="00012E60">
        <w:rPr>
          <w:rFonts w:ascii="Arial" w:hAnsi="Arial" w:cs="Arial"/>
        </w:rPr>
        <w:t> i </w:t>
      </w:r>
      <w:hyperlink r:id="rId155" w:tooltip="Norwegia" w:history="1">
        <w:r w:rsidRPr="00012E60">
          <w:rPr>
            <w:rStyle w:val="Hipercze"/>
            <w:rFonts w:ascii="Arial" w:hAnsi="Arial" w:cs="Arial"/>
            <w:color w:val="auto"/>
            <w:u w:val="none"/>
          </w:rPr>
          <w:t>Norwegię</w:t>
        </w:r>
      </w:hyperlink>
      <w:r w:rsidRPr="00012E60">
        <w:rPr>
          <w:rFonts w:ascii="Arial" w:hAnsi="Arial" w:cs="Arial"/>
        </w:rPr>
        <w:t> , a do 2040 roku prześcignie </w:t>
      </w:r>
      <w:hyperlink r:id="rId156" w:tooltip="Stany Zjednoczone" w:history="1">
        <w:r w:rsidRPr="00012E60">
          <w:rPr>
            <w:rStyle w:val="Hipercze"/>
            <w:rFonts w:ascii="Arial" w:hAnsi="Arial" w:cs="Arial"/>
            <w:color w:val="auto"/>
            <w:u w:val="none"/>
          </w:rPr>
          <w:t>Stany Zjednoczone</w:t>
        </w:r>
      </w:hyperlink>
      <w:r w:rsidRPr="00012E60">
        <w:rPr>
          <w:rFonts w:ascii="Arial" w:hAnsi="Arial" w:cs="Arial"/>
        </w:rPr>
        <w:t> , stając się najbogatszą gospodarką świata. Podczas gdy mierzenie </w:t>
      </w:r>
      <w:hyperlink r:id="rId157" w:tooltip="Gospodarka Korei Południowej" w:history="1">
        <w:r w:rsidRPr="00012E60">
          <w:rPr>
            <w:rStyle w:val="Hipercze"/>
            <w:rFonts w:ascii="Arial" w:hAnsi="Arial" w:cs="Arial"/>
            <w:color w:val="auto"/>
            <w:u w:val="none"/>
          </w:rPr>
          <w:t>gospodarki Korei Południowej</w:t>
        </w:r>
      </w:hyperlink>
      <w:r w:rsidRPr="00012E60">
        <w:rPr>
          <w:rFonts w:ascii="Arial" w:hAnsi="Arial" w:cs="Arial"/>
        </w:rPr>
        <w:t> według </w:t>
      </w:r>
      <w:hyperlink r:id="rId158" w:tooltip="Nominalny PKB" w:history="1">
        <w:r w:rsidRPr="00012E60">
          <w:rPr>
            <w:rStyle w:val="Hipercze"/>
            <w:rFonts w:ascii="Arial" w:hAnsi="Arial" w:cs="Arial"/>
            <w:color w:val="auto"/>
            <w:u w:val="none"/>
          </w:rPr>
          <w:t>nominalnego PKB</w:t>
        </w:r>
      </w:hyperlink>
      <w:r w:rsidRPr="00012E60">
        <w:rPr>
          <w:rFonts w:ascii="Arial" w:hAnsi="Arial" w:cs="Arial"/>
        </w:rPr>
        <w:t> jest niedokładne, ponieważ </w:t>
      </w:r>
      <w:hyperlink r:id="rId159" w:tooltip="Won południowokoreański" w:history="1">
        <w:r w:rsidRPr="00012E60">
          <w:rPr>
            <w:rStyle w:val="Hipercze"/>
            <w:rFonts w:ascii="Arial" w:hAnsi="Arial" w:cs="Arial"/>
            <w:color w:val="auto"/>
            <w:u w:val="none"/>
          </w:rPr>
          <w:t>won południowokoreański</w:t>
        </w:r>
      </w:hyperlink>
      <w:r w:rsidRPr="00012E60">
        <w:rPr>
          <w:rFonts w:ascii="Arial" w:hAnsi="Arial" w:cs="Arial"/>
        </w:rPr>
        <w:t> jest sztucznie utrzymywany na niskim poziomie w celu pobudzenia </w:t>
      </w:r>
      <w:hyperlink r:id="rId160" w:tooltip="Eksport" w:history="1">
        <w:r w:rsidRPr="00012E60">
          <w:rPr>
            <w:rStyle w:val="Hipercze"/>
            <w:rFonts w:ascii="Arial" w:hAnsi="Arial" w:cs="Arial"/>
            <w:color w:val="auto"/>
            <w:u w:val="none"/>
          </w:rPr>
          <w:t>eksportu</w:t>
        </w:r>
      </w:hyperlink>
      <w:r w:rsidRPr="00012E60">
        <w:rPr>
          <w:rFonts w:ascii="Arial" w:hAnsi="Arial" w:cs="Arial"/>
        </w:rPr>
        <w:t> , </w:t>
      </w:r>
      <w:hyperlink r:id="rId161" w:tooltip="MFW" w:history="1">
        <w:r w:rsidRPr="00012E60">
          <w:rPr>
            <w:rStyle w:val="Hipercze"/>
            <w:rFonts w:ascii="Arial" w:hAnsi="Arial" w:cs="Arial"/>
            <w:color w:val="auto"/>
            <w:u w:val="none"/>
          </w:rPr>
          <w:t>MFW</w:t>
        </w:r>
      </w:hyperlink>
      <w:r w:rsidRPr="00012E60">
        <w:rPr>
          <w:rFonts w:ascii="Arial" w:hAnsi="Arial" w:cs="Arial"/>
        </w:rPr>
        <w:t> przewiduje, że nominalne PKB Korei Południowej i PKB na mieszkańca przewyższy </w:t>
      </w:r>
      <w:hyperlink r:id="rId162" w:tooltip="Hiszpania" w:history="1">
        <w:r w:rsidRPr="00012E60">
          <w:rPr>
            <w:rStyle w:val="Hipercze"/>
            <w:rFonts w:ascii="Arial" w:hAnsi="Arial" w:cs="Arial"/>
            <w:color w:val="auto"/>
            <w:u w:val="none"/>
          </w:rPr>
          <w:t>Hiszpanię</w:t>
        </w:r>
      </w:hyperlink>
      <w:r w:rsidRPr="00012E60">
        <w:rPr>
          <w:rFonts w:ascii="Arial" w:hAnsi="Arial" w:cs="Arial"/>
        </w:rPr>
        <w:t> w 2015 r. </w:t>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Ekonomiści z innych firm inwestycyjnych twierdzą, że nawet mierząc według </w:t>
      </w:r>
      <w:hyperlink r:id="rId163" w:tooltip="Nominalny PKB" w:history="1">
        <w:r w:rsidRPr="00012E60">
          <w:rPr>
            <w:rStyle w:val="Hipercze"/>
            <w:rFonts w:ascii="Arial" w:hAnsi="Arial" w:cs="Arial"/>
            <w:color w:val="auto"/>
            <w:u w:val="none"/>
          </w:rPr>
          <w:t>nominalnego PKB na mieszkańca</w:t>
        </w:r>
      </w:hyperlink>
      <w:r w:rsidRPr="00012E60">
        <w:rPr>
          <w:rFonts w:ascii="Arial" w:hAnsi="Arial" w:cs="Arial"/>
        </w:rPr>
        <w:t> , Korea Południowa osiągnie ponad 145 000 USD w 2040 r., przewyższając Stany Zjednoczone, co sugeruje, że bogactwo jest ważniejsze niż wielkość dla inwestorów w obligacje, stwierdzając, że </w:t>
      </w:r>
      <w:hyperlink r:id="rId164" w:tooltip="Ocena kredytowa obligacji" w:history="1">
        <w:r w:rsidRPr="00012E60">
          <w:rPr>
            <w:rStyle w:val="Hipercze"/>
            <w:rFonts w:ascii="Arial" w:hAnsi="Arial" w:cs="Arial"/>
            <w:color w:val="auto"/>
            <w:u w:val="none"/>
          </w:rPr>
          <w:t>rating kredytowy</w:t>
        </w:r>
      </w:hyperlink>
      <w:r w:rsidRPr="00012E60">
        <w:rPr>
          <w:rFonts w:ascii="Arial" w:hAnsi="Arial" w:cs="Arial"/>
        </w:rPr>
        <w:t> Korei zostanie oceniony jako AAA wcześniej niż w 2050 r. </w:t>
      </w:r>
    </w:p>
    <w:p w:rsidR="00012E60" w:rsidRDefault="00012E60">
      <w:pPr>
        <w:rPr>
          <w:rFonts w:ascii="inherit" w:eastAsiaTheme="majorEastAsia" w:hAnsi="inherit" w:cs="Arial"/>
          <w:i/>
          <w:iCs/>
          <w:color w:val="2E74B5" w:themeColor="accent1" w:themeShade="BF"/>
        </w:rPr>
      </w:pPr>
      <w:r>
        <w:rPr>
          <w:rFonts w:ascii="inherit" w:hAnsi="inherit" w:cs="Arial"/>
        </w:rPr>
        <w:br w:type="page"/>
      </w:r>
    </w:p>
    <w:p w:rsidR="00012E60" w:rsidRPr="00012E60" w:rsidRDefault="00012E60" w:rsidP="00012E60">
      <w:pPr>
        <w:pStyle w:val="Nagwek4"/>
        <w:shd w:val="clear" w:color="auto" w:fill="FFFFFF"/>
        <w:spacing w:before="0" w:after="60" w:line="360" w:lineRule="auto"/>
        <w:jc w:val="both"/>
        <w:rPr>
          <w:rFonts w:ascii="Arial" w:hAnsi="Arial" w:cs="Arial"/>
          <w:b/>
          <w:i w:val="0"/>
          <w:color w:val="auto"/>
        </w:rPr>
      </w:pPr>
      <w:r w:rsidRPr="00012E60">
        <w:rPr>
          <w:rFonts w:ascii="Arial" w:hAnsi="Arial" w:cs="Arial"/>
          <w:b/>
          <w:i w:val="0"/>
          <w:color w:val="auto"/>
        </w:rPr>
        <w:lastRenderedPageBreak/>
        <w:t>Zjednoczone Korea</w:t>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 xml:space="preserve">We wrześniu 2009 r. Goldman </w:t>
      </w:r>
      <w:proofErr w:type="spellStart"/>
      <w:r w:rsidRPr="00012E60">
        <w:rPr>
          <w:rFonts w:ascii="Arial" w:hAnsi="Arial" w:cs="Arial"/>
        </w:rPr>
        <w:t>Sachs</w:t>
      </w:r>
      <w:proofErr w:type="spellEnd"/>
      <w:r w:rsidRPr="00012E60">
        <w:rPr>
          <w:rFonts w:ascii="Arial" w:hAnsi="Arial" w:cs="Arial"/>
        </w:rPr>
        <w:t xml:space="preserve"> opublikował 188. Global </w:t>
      </w:r>
      <w:proofErr w:type="spellStart"/>
      <w:r w:rsidRPr="00012E60">
        <w:rPr>
          <w:rFonts w:ascii="Arial" w:hAnsi="Arial" w:cs="Arial"/>
        </w:rPr>
        <w:t>Economics</w:t>
      </w:r>
      <w:proofErr w:type="spellEnd"/>
      <w:r w:rsidRPr="00012E60">
        <w:rPr>
          <w:rFonts w:ascii="Arial" w:hAnsi="Arial" w:cs="Arial"/>
        </w:rPr>
        <w:t xml:space="preserve"> Paper zatytułowany „Zjednoczona Korea?”, w którym szczegółowo opisano potencjalną siłę ekonomiczną </w:t>
      </w:r>
      <w:hyperlink r:id="rId165" w:tooltip="Zjednoczenie Korei" w:history="1">
        <w:r w:rsidRPr="00012E60">
          <w:rPr>
            <w:rStyle w:val="Hipercze"/>
            <w:rFonts w:ascii="Arial" w:hAnsi="Arial" w:cs="Arial"/>
            <w:color w:val="auto"/>
            <w:u w:val="none"/>
          </w:rPr>
          <w:t>Zjednoczonej Korei</w:t>
        </w:r>
      </w:hyperlink>
      <w:r w:rsidRPr="00012E60">
        <w:rPr>
          <w:rFonts w:ascii="Arial" w:hAnsi="Arial" w:cs="Arial"/>
        </w:rPr>
        <w:t> , która przewyższyłaby wszystkie obecne kraje G7 z wyjątkiem </w:t>
      </w:r>
      <w:hyperlink r:id="rId166" w:tooltip="Stany Zjednoczone" w:history="1">
        <w:r w:rsidRPr="00012E60">
          <w:rPr>
            <w:rStyle w:val="Hipercze"/>
            <w:rFonts w:ascii="Arial" w:hAnsi="Arial" w:cs="Arial"/>
            <w:color w:val="auto"/>
            <w:u w:val="none"/>
          </w:rPr>
          <w:t>Stanów Zjednoczonych</w:t>
        </w:r>
      </w:hyperlink>
      <w:r w:rsidRPr="00012E60">
        <w:rPr>
          <w:rFonts w:ascii="Arial" w:hAnsi="Arial" w:cs="Arial"/>
        </w:rPr>
        <w:t> i </w:t>
      </w:r>
      <w:hyperlink r:id="rId167" w:tooltip="Japonia" w:history="1">
        <w:r w:rsidRPr="00012E60">
          <w:rPr>
            <w:rStyle w:val="Hipercze"/>
            <w:rFonts w:ascii="Arial" w:hAnsi="Arial" w:cs="Arial"/>
            <w:color w:val="auto"/>
            <w:u w:val="none"/>
          </w:rPr>
          <w:t>Japonii</w:t>
        </w:r>
      </w:hyperlink>
      <w:r w:rsidRPr="00012E60">
        <w:rPr>
          <w:rFonts w:ascii="Arial" w:hAnsi="Arial" w:cs="Arial"/>
        </w:rPr>
        <w:t> w ciągu 30–40 lat od zjednoczenia, szacując, że PKB przekroczy 6 bilionów dolarów do 2050 r. </w:t>
      </w:r>
    </w:p>
    <w:p w:rsidR="00012E60" w:rsidRPr="00012E60" w:rsidRDefault="00012E60" w:rsidP="00012E60">
      <w:pPr>
        <w:pStyle w:val="NormalnyWeb"/>
        <w:shd w:val="clear" w:color="auto" w:fill="FFFFFF"/>
        <w:spacing w:before="120" w:beforeAutospacing="0" w:after="240" w:afterAutospacing="0" w:line="360" w:lineRule="auto"/>
        <w:jc w:val="both"/>
        <w:rPr>
          <w:rFonts w:ascii="Arial" w:hAnsi="Arial" w:cs="Arial"/>
        </w:rPr>
      </w:pPr>
      <w:r w:rsidRPr="00012E60">
        <w:rPr>
          <w:rFonts w:ascii="Arial" w:hAnsi="Arial" w:cs="Arial"/>
        </w:rPr>
        <w:t xml:space="preserve">Młoda, wykwalifikowana siła robocza i duża ilość zasobów naturalnych z Północy w połączeniu z zaawansowaną technologią, infrastrukturą i dużą ilością kapitału z Południa, a także strategiczne położenie Korei łączące trzy potęgi gospodarcze, prawdopodobnie stworzyłyby gospodarkę większą niż większość G7. Zjednoczona Korea mogłaby nastąpić przed 2050 r., według niektórych zewnętrznych obserwatorów.  </w:t>
      </w:r>
    </w:p>
    <w:tbl>
      <w:tblPr>
        <w:tblW w:w="0" w:type="auto"/>
        <w:tblCellMar>
          <w:top w:w="15" w:type="dxa"/>
          <w:left w:w="15" w:type="dxa"/>
          <w:bottom w:w="15" w:type="dxa"/>
          <w:right w:w="15" w:type="dxa"/>
        </w:tblCellMar>
        <w:tblLook w:val="04A0" w:firstRow="1" w:lastRow="0" w:firstColumn="1" w:lastColumn="0" w:noHBand="0" w:noVBand="1"/>
      </w:tblPr>
      <w:tblGrid>
        <w:gridCol w:w="2347"/>
        <w:gridCol w:w="2465"/>
        <w:gridCol w:w="2245"/>
        <w:gridCol w:w="2015"/>
      </w:tblGrid>
      <w:tr w:rsidR="00012E60" w:rsidTr="00012E60">
        <w:tc>
          <w:tcPr>
            <w:tcW w:w="0" w:type="auto"/>
            <w:gridSpan w:val="4"/>
            <w:tcBorders>
              <w:top w:val="nil"/>
              <w:left w:val="nil"/>
              <w:bottom w:val="nil"/>
              <w:right w:val="nil"/>
            </w:tcBorders>
            <w:tcMar>
              <w:top w:w="48" w:type="dxa"/>
              <w:left w:w="96" w:type="dxa"/>
              <w:bottom w:w="48" w:type="dxa"/>
              <w:right w:w="96" w:type="dxa"/>
            </w:tcMar>
            <w:vAlign w:val="center"/>
            <w:hideMark/>
          </w:tcPr>
          <w:p w:rsidR="00012E60" w:rsidRDefault="00012E60" w:rsidP="00012E60">
            <w:pPr>
              <w:spacing w:after="240"/>
              <w:jc w:val="center"/>
              <w:rPr>
                <w:rFonts w:ascii="Arial" w:hAnsi="Arial" w:cs="Arial"/>
                <w:b/>
                <w:bCs/>
                <w:color w:val="202122"/>
                <w:sz w:val="24"/>
                <w:szCs w:val="24"/>
              </w:rPr>
            </w:pPr>
            <w:r>
              <w:rPr>
                <w:rFonts w:ascii="Arial" w:hAnsi="Arial" w:cs="Arial"/>
                <w:b/>
                <w:bCs/>
                <w:color w:val="202122"/>
              </w:rPr>
              <w:t>Prognoza gospodarki koreańskiej w 2050 r.</w:t>
            </w:r>
            <w:r>
              <w:rPr>
                <w:rFonts w:ascii="Arial" w:hAnsi="Arial" w:cs="Arial"/>
                <w:b/>
                <w:bCs/>
                <w:color w:val="202122"/>
                <w:sz w:val="24"/>
                <w:szCs w:val="24"/>
              </w:rPr>
              <w:t xml:space="preserve"> </w:t>
            </w:r>
          </w:p>
        </w:tc>
      </w:tr>
      <w:tr w:rsidR="00012E60" w:rsidRPr="00012E60" w:rsidTr="00012E60">
        <w:tc>
          <w:tcPr>
            <w:tcW w:w="0" w:type="auto"/>
            <w:tcMar>
              <w:top w:w="48" w:type="dxa"/>
              <w:left w:w="96" w:type="dxa"/>
              <w:bottom w:w="48" w:type="dxa"/>
              <w:right w:w="96" w:type="dxa"/>
            </w:tcMar>
            <w:vAlign w:val="center"/>
            <w:hideMark/>
          </w:tcPr>
          <w:p w:rsidR="00012E60" w:rsidRPr="00012E60" w:rsidRDefault="00012E60">
            <w:pPr>
              <w:spacing w:after="240"/>
              <w:jc w:val="center"/>
              <w:rPr>
                <w:rFonts w:ascii="Arial" w:hAnsi="Arial" w:cs="Arial"/>
                <w:b/>
                <w:bCs/>
              </w:rPr>
            </w:pPr>
          </w:p>
        </w:tc>
        <w:tc>
          <w:tcPr>
            <w:tcW w:w="0" w:type="auto"/>
            <w:tcMar>
              <w:top w:w="48" w:type="dxa"/>
              <w:left w:w="96" w:type="dxa"/>
              <w:bottom w:w="48" w:type="dxa"/>
              <w:right w:w="96" w:type="dxa"/>
            </w:tcMar>
            <w:vAlign w:val="center"/>
            <w:hideMark/>
          </w:tcPr>
          <w:p w:rsidR="00012E60" w:rsidRPr="00012E60" w:rsidRDefault="00012E60">
            <w:pPr>
              <w:spacing w:after="240"/>
              <w:jc w:val="center"/>
              <w:rPr>
                <w:rFonts w:ascii="Arial" w:hAnsi="Arial" w:cs="Arial"/>
                <w:b/>
                <w:bCs/>
                <w:sz w:val="24"/>
                <w:szCs w:val="24"/>
              </w:rPr>
            </w:pPr>
            <w:r w:rsidRPr="00012E60">
              <w:rPr>
                <w:rFonts w:ascii="Arial" w:hAnsi="Arial" w:cs="Arial"/>
                <w:b/>
                <w:bCs/>
                <w:noProof/>
                <w:lang w:eastAsia="pl-PL"/>
              </w:rPr>
              <w:drawing>
                <wp:inline distT="0" distB="0" distL="0" distR="0" wp14:anchorId="4527DD1E" wp14:editId="255AAA48">
                  <wp:extent cx="219075" cy="142875"/>
                  <wp:effectExtent l="0" t="0" r="9525" b="9525"/>
                  <wp:docPr id="24" name="Obraz 24" descr="Korea">
                    <a:hlinkClick xmlns:a="http://schemas.openxmlformats.org/drawingml/2006/main" r:id="rId168" tooltip="&quot;Kor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orea">
                            <a:hlinkClick r:id="rId168" tooltip="&quot;Korea&quot;"/>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12E60">
              <w:rPr>
                <w:rFonts w:ascii="Arial" w:hAnsi="Arial" w:cs="Arial"/>
                <w:b/>
                <w:bCs/>
              </w:rPr>
              <w:t> </w:t>
            </w:r>
            <w:hyperlink r:id="rId170" w:tooltip="Zjednoczenie Korei" w:history="1">
              <w:r w:rsidRPr="00012E60">
                <w:rPr>
                  <w:rStyle w:val="Hipercze"/>
                  <w:rFonts w:ascii="Arial" w:hAnsi="Arial" w:cs="Arial"/>
                  <w:b/>
                  <w:bCs/>
                  <w:color w:val="auto"/>
                  <w:u w:val="none"/>
                </w:rPr>
                <w:t>Zjednoczone Korea</w:t>
              </w:r>
            </w:hyperlink>
          </w:p>
        </w:tc>
        <w:tc>
          <w:tcPr>
            <w:tcW w:w="0" w:type="auto"/>
            <w:tcMar>
              <w:top w:w="48" w:type="dxa"/>
              <w:left w:w="96" w:type="dxa"/>
              <w:bottom w:w="48" w:type="dxa"/>
              <w:right w:w="96" w:type="dxa"/>
            </w:tcMar>
            <w:vAlign w:val="center"/>
            <w:hideMark/>
          </w:tcPr>
          <w:p w:rsidR="00012E60" w:rsidRPr="00012E60" w:rsidRDefault="00012E60">
            <w:pPr>
              <w:spacing w:after="240"/>
              <w:jc w:val="center"/>
              <w:rPr>
                <w:rFonts w:ascii="Arial" w:hAnsi="Arial" w:cs="Arial"/>
                <w:b/>
                <w:bCs/>
              </w:rPr>
            </w:pPr>
            <w:r w:rsidRPr="00012E60">
              <w:rPr>
                <w:rFonts w:ascii="Arial" w:hAnsi="Arial" w:cs="Arial"/>
                <w:b/>
                <w:bCs/>
                <w:noProof/>
                <w:lang w:eastAsia="pl-PL"/>
              </w:rPr>
              <w:drawing>
                <wp:inline distT="0" distB="0" distL="0" distR="0" wp14:anchorId="22435297" wp14:editId="0BC43ACF">
                  <wp:extent cx="219075" cy="142875"/>
                  <wp:effectExtent l="0" t="0" r="9525" b="9525"/>
                  <wp:docPr id="23" name="Obraz 23" descr="https://upload.wikimedia.org/wikipedia/commons/thumb/0/09/Flag_of_South_Korea.svg/40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load.wikimedia.org/wikipedia/commons/thumb/0/09/Flag_of_South_Korea.svg/40px-Flag_of_South_Korea.svg.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12E60">
              <w:rPr>
                <w:rStyle w:val="flagicon"/>
                <w:rFonts w:ascii="Arial" w:hAnsi="Arial" w:cs="Arial"/>
                <w:b/>
                <w:bCs/>
              </w:rPr>
              <w:t> </w:t>
            </w:r>
            <w:hyperlink r:id="rId172" w:tooltip="Korea Południowa" w:history="1">
              <w:r w:rsidRPr="00012E60">
                <w:rPr>
                  <w:rStyle w:val="Hipercze"/>
                  <w:rFonts w:ascii="Arial" w:hAnsi="Arial" w:cs="Arial"/>
                  <w:b/>
                  <w:bCs/>
                  <w:color w:val="auto"/>
                  <w:u w:val="none"/>
                </w:rPr>
                <w:t>Korea Południowa</w:t>
              </w:r>
            </w:hyperlink>
          </w:p>
        </w:tc>
        <w:tc>
          <w:tcPr>
            <w:tcW w:w="0" w:type="auto"/>
            <w:tcMar>
              <w:top w:w="48" w:type="dxa"/>
              <w:left w:w="96" w:type="dxa"/>
              <w:bottom w:w="48" w:type="dxa"/>
              <w:right w:w="96" w:type="dxa"/>
            </w:tcMar>
            <w:vAlign w:val="center"/>
            <w:hideMark/>
          </w:tcPr>
          <w:p w:rsidR="00012E60" w:rsidRPr="00012E60" w:rsidRDefault="00012E60">
            <w:pPr>
              <w:spacing w:after="240"/>
              <w:jc w:val="center"/>
              <w:rPr>
                <w:rFonts w:ascii="Arial" w:hAnsi="Arial" w:cs="Arial"/>
                <w:b/>
                <w:bCs/>
              </w:rPr>
            </w:pPr>
            <w:r w:rsidRPr="00012E60">
              <w:rPr>
                <w:rFonts w:ascii="Arial" w:hAnsi="Arial" w:cs="Arial"/>
                <w:b/>
                <w:bCs/>
                <w:noProof/>
                <w:lang w:eastAsia="pl-PL"/>
              </w:rPr>
              <w:drawing>
                <wp:inline distT="0" distB="0" distL="0" distR="0" wp14:anchorId="0210C369" wp14:editId="58254D10">
                  <wp:extent cx="219075" cy="114300"/>
                  <wp:effectExtent l="0" t="0" r="9525" b="0"/>
                  <wp:docPr id="22" name="Obraz 22" descr="https://upload.wikimedia.org/wikipedia/commons/thumb/5/51/Flag_of_North_Korea.svg/40px-Flag_of_Nor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5/51/Flag_of_North_Korea.svg/40px-Flag_of_North_Korea.svg.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012E60">
              <w:rPr>
                <w:rStyle w:val="flagicon"/>
                <w:rFonts w:ascii="Arial" w:hAnsi="Arial" w:cs="Arial"/>
                <w:b/>
                <w:bCs/>
              </w:rPr>
              <w:t> </w:t>
            </w:r>
            <w:hyperlink r:id="rId174" w:tooltip="Korea Północna" w:history="1">
              <w:r w:rsidRPr="00012E60">
                <w:rPr>
                  <w:rStyle w:val="Hipercze"/>
                  <w:rFonts w:ascii="Arial" w:hAnsi="Arial" w:cs="Arial"/>
                  <w:b/>
                  <w:bCs/>
                  <w:color w:val="auto"/>
                  <w:u w:val="none"/>
                </w:rPr>
                <w:t>Korea Północna</w:t>
              </w:r>
            </w:hyperlink>
          </w:p>
        </w:tc>
      </w:tr>
      <w:tr w:rsidR="00012E60" w:rsidRPr="00012E60" w:rsidTr="00012E60">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hyperlink r:id="rId175" w:tooltip="PKB" w:history="1">
              <w:r w:rsidRPr="00012E60">
                <w:rPr>
                  <w:rStyle w:val="Hipercze"/>
                  <w:rFonts w:ascii="Arial" w:hAnsi="Arial" w:cs="Arial"/>
                  <w:color w:val="auto"/>
                  <w:u w:val="none"/>
                </w:rPr>
                <w:t>PKB</w:t>
              </w:r>
            </w:hyperlink>
            <w:r w:rsidRPr="00012E60">
              <w:rPr>
                <w:rFonts w:ascii="Arial" w:hAnsi="Arial" w:cs="Arial"/>
              </w:rPr>
              <w:t> w </w:t>
            </w:r>
            <w:hyperlink r:id="rId176" w:tooltip="USD" w:history="1">
              <w:r w:rsidRPr="00012E60">
                <w:rPr>
                  <w:rStyle w:val="Hipercze"/>
                  <w:rFonts w:ascii="Arial" w:hAnsi="Arial" w:cs="Arial"/>
                  <w:color w:val="auto"/>
                  <w:u w:val="none"/>
                </w:rPr>
                <w:t>USD</w:t>
              </w:r>
            </w:hyperlink>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6,056 biliona dolarów</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4,073 biliona dolarów</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1,982 biliona dolarów</w:t>
            </w:r>
          </w:p>
        </w:tc>
      </w:tr>
      <w:tr w:rsidR="00012E60" w:rsidRPr="00012E60" w:rsidTr="00012E60">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hyperlink r:id="rId177" w:tooltip="PKB na mieszkańca" w:history="1">
              <w:r w:rsidRPr="00012E60">
                <w:rPr>
                  <w:rStyle w:val="Hipercze"/>
                  <w:rFonts w:ascii="Arial" w:hAnsi="Arial" w:cs="Arial"/>
                  <w:color w:val="auto"/>
                  <w:u w:val="none"/>
                </w:rPr>
                <w:t>PKB na mieszkańca</w:t>
              </w:r>
            </w:hyperlink>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86 000 dolarów</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96 000 dolarów</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70 000 dolarów</w:t>
            </w:r>
          </w:p>
        </w:tc>
      </w:tr>
      <w:tr w:rsidR="00012E60" w:rsidRPr="00012E60" w:rsidTr="00012E60">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hyperlink r:id="rId178" w:tooltip="Wzrost PKB" w:history="1">
              <w:r w:rsidRPr="00012E60">
                <w:rPr>
                  <w:rStyle w:val="Hipercze"/>
                  <w:rFonts w:ascii="Arial" w:hAnsi="Arial" w:cs="Arial"/>
                  <w:color w:val="auto"/>
                  <w:u w:val="none"/>
                </w:rPr>
                <w:t>Wzrost PKB</w:t>
              </w:r>
            </w:hyperlink>
            <w:r w:rsidRPr="00012E60">
              <w:rPr>
                <w:rFonts w:ascii="Arial" w:hAnsi="Arial" w:cs="Arial"/>
              </w:rPr>
              <w:t> (2015–2050)</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4,8%</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3,9%</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11,4%</w:t>
            </w:r>
          </w:p>
        </w:tc>
      </w:tr>
      <w:tr w:rsidR="00012E60" w:rsidRPr="00012E60" w:rsidTr="00012E60">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hyperlink r:id="rId179" w:tooltip="Populacja" w:history="1">
              <w:r w:rsidRPr="00012E60">
                <w:rPr>
                  <w:rStyle w:val="Hipercze"/>
                  <w:rFonts w:ascii="Arial" w:hAnsi="Arial" w:cs="Arial"/>
                  <w:color w:val="auto"/>
                  <w:u w:val="none"/>
                </w:rPr>
                <w:t>Całkowita populacja</w:t>
              </w:r>
            </w:hyperlink>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71 milionów</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42 miliony</w:t>
            </w:r>
          </w:p>
        </w:tc>
        <w:tc>
          <w:tcPr>
            <w:tcW w:w="0" w:type="auto"/>
            <w:tcMar>
              <w:top w:w="48" w:type="dxa"/>
              <w:left w:w="96" w:type="dxa"/>
              <w:bottom w:w="48" w:type="dxa"/>
              <w:right w:w="96" w:type="dxa"/>
            </w:tcMar>
            <w:vAlign w:val="center"/>
            <w:hideMark/>
          </w:tcPr>
          <w:p w:rsidR="00012E60" w:rsidRPr="00012E60" w:rsidRDefault="00012E60">
            <w:pPr>
              <w:spacing w:after="240"/>
              <w:rPr>
                <w:rFonts w:ascii="Arial" w:hAnsi="Arial" w:cs="Arial"/>
              </w:rPr>
            </w:pPr>
            <w:r w:rsidRPr="00012E60">
              <w:rPr>
                <w:rFonts w:ascii="Arial" w:hAnsi="Arial" w:cs="Arial"/>
              </w:rPr>
              <w:t>28 milionów</w:t>
            </w:r>
          </w:p>
        </w:tc>
      </w:tr>
    </w:tbl>
    <w:p w:rsidR="000547CE" w:rsidRDefault="000547CE">
      <w:pPr>
        <w:rPr>
          <w:rFonts w:ascii="Arial" w:hAnsi="Arial" w:cs="Arial"/>
        </w:rPr>
      </w:pPr>
      <w:bookmarkStart w:id="0" w:name="_GoBack"/>
      <w:bookmarkEnd w:id="0"/>
    </w:p>
    <w:sectPr w:rsidR="00054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43DF4"/>
    <w:multiLevelType w:val="multilevel"/>
    <w:tmpl w:val="E24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65"/>
    <w:rsid w:val="00012E60"/>
    <w:rsid w:val="000547CE"/>
    <w:rsid w:val="00224F93"/>
    <w:rsid w:val="00694570"/>
    <w:rsid w:val="00B70ACB"/>
    <w:rsid w:val="00CC41AA"/>
    <w:rsid w:val="00DA63BB"/>
    <w:rsid w:val="00DD0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A5D4"/>
  <w15:chartTrackingRefBased/>
  <w15:docId w15:val="{F397280B-BECE-4744-889B-7F5B86E3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DD096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DD09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012E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D0965"/>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DD09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D0965"/>
    <w:rPr>
      <w:color w:val="0000FF"/>
      <w:u w:val="single"/>
    </w:rPr>
  </w:style>
  <w:style w:type="character" w:customStyle="1" w:styleId="mw-editsection">
    <w:name w:val="mw-editsection"/>
    <w:basedOn w:val="Domylnaczcionkaakapitu"/>
    <w:rsid w:val="00DD0965"/>
  </w:style>
  <w:style w:type="character" w:customStyle="1" w:styleId="mw-editsection-bracket">
    <w:name w:val="mw-editsection-bracket"/>
    <w:basedOn w:val="Domylnaczcionkaakapitu"/>
    <w:rsid w:val="00DD0965"/>
  </w:style>
  <w:style w:type="character" w:customStyle="1" w:styleId="mw-editsection-divider">
    <w:name w:val="mw-editsection-divider"/>
    <w:basedOn w:val="Domylnaczcionkaakapitu"/>
    <w:rsid w:val="00DD0965"/>
  </w:style>
  <w:style w:type="character" w:customStyle="1" w:styleId="cite-bracket">
    <w:name w:val="cite-bracket"/>
    <w:basedOn w:val="Domylnaczcionkaakapitu"/>
    <w:rsid w:val="00DD0965"/>
  </w:style>
  <w:style w:type="character" w:customStyle="1" w:styleId="flagicon">
    <w:name w:val="flagicon"/>
    <w:basedOn w:val="Domylnaczcionkaakapitu"/>
    <w:rsid w:val="00DD0965"/>
  </w:style>
  <w:style w:type="character" w:customStyle="1" w:styleId="Nagwek3Znak">
    <w:name w:val="Nagłówek 3 Znak"/>
    <w:basedOn w:val="Domylnaczcionkaakapitu"/>
    <w:link w:val="Nagwek3"/>
    <w:uiPriority w:val="9"/>
    <w:semiHidden/>
    <w:rsid w:val="00DD0965"/>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012E60"/>
    <w:rPr>
      <w:rFonts w:asciiTheme="majorHAnsi" w:eastAsiaTheme="majorEastAsia" w:hAnsiTheme="majorHAnsi" w:cstheme="majorBidi"/>
      <w:i/>
      <w:iCs/>
      <w:color w:val="2E74B5" w:themeColor="accent1" w:themeShade="BF"/>
    </w:rPr>
  </w:style>
  <w:style w:type="character" w:customStyle="1" w:styleId="mw-image-border">
    <w:name w:val="mw-image-border"/>
    <w:basedOn w:val="Domylnaczcionkaakapitu"/>
    <w:rsid w:val="0001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3688">
      <w:bodyDiv w:val="1"/>
      <w:marLeft w:val="0"/>
      <w:marRight w:val="0"/>
      <w:marTop w:val="0"/>
      <w:marBottom w:val="0"/>
      <w:divBdr>
        <w:top w:val="none" w:sz="0" w:space="0" w:color="auto"/>
        <w:left w:val="none" w:sz="0" w:space="0" w:color="auto"/>
        <w:bottom w:val="none" w:sz="0" w:space="0" w:color="auto"/>
        <w:right w:val="none" w:sz="0" w:space="0" w:color="auto"/>
      </w:divBdr>
      <w:divsChild>
        <w:div w:id="1240141483">
          <w:marLeft w:val="0"/>
          <w:marRight w:val="0"/>
          <w:marTop w:val="60"/>
          <w:marBottom w:val="60"/>
          <w:divBdr>
            <w:top w:val="none" w:sz="0" w:space="0" w:color="auto"/>
            <w:left w:val="none" w:sz="0" w:space="0" w:color="auto"/>
            <w:bottom w:val="none" w:sz="0" w:space="0" w:color="auto"/>
            <w:right w:val="none" w:sz="0" w:space="0" w:color="auto"/>
          </w:divBdr>
        </w:div>
        <w:div w:id="1107849200">
          <w:marLeft w:val="0"/>
          <w:marRight w:val="0"/>
          <w:marTop w:val="0"/>
          <w:marBottom w:val="120"/>
          <w:divBdr>
            <w:top w:val="none" w:sz="0" w:space="0" w:color="auto"/>
            <w:left w:val="none" w:sz="0" w:space="0" w:color="auto"/>
            <w:bottom w:val="none" w:sz="0" w:space="0" w:color="auto"/>
            <w:right w:val="none" w:sz="0" w:space="0" w:color="auto"/>
          </w:divBdr>
        </w:div>
        <w:div w:id="1632131822">
          <w:marLeft w:val="0"/>
          <w:marRight w:val="0"/>
          <w:marTop w:val="60"/>
          <w:marBottom w:val="60"/>
          <w:divBdr>
            <w:top w:val="none" w:sz="0" w:space="0" w:color="auto"/>
            <w:left w:val="none" w:sz="0" w:space="0" w:color="auto"/>
            <w:bottom w:val="none" w:sz="0" w:space="0" w:color="auto"/>
            <w:right w:val="none" w:sz="0" w:space="0" w:color="auto"/>
          </w:divBdr>
        </w:div>
      </w:divsChild>
    </w:div>
    <w:div w:id="145978182">
      <w:bodyDiv w:val="1"/>
      <w:marLeft w:val="0"/>
      <w:marRight w:val="0"/>
      <w:marTop w:val="0"/>
      <w:marBottom w:val="0"/>
      <w:divBdr>
        <w:top w:val="none" w:sz="0" w:space="0" w:color="auto"/>
        <w:left w:val="none" w:sz="0" w:space="0" w:color="auto"/>
        <w:bottom w:val="none" w:sz="0" w:space="0" w:color="auto"/>
        <w:right w:val="none" w:sz="0" w:space="0" w:color="auto"/>
      </w:divBdr>
      <w:divsChild>
        <w:div w:id="1927112769">
          <w:marLeft w:val="0"/>
          <w:marRight w:val="0"/>
          <w:marTop w:val="60"/>
          <w:marBottom w:val="60"/>
          <w:divBdr>
            <w:top w:val="none" w:sz="0" w:space="0" w:color="auto"/>
            <w:left w:val="none" w:sz="0" w:space="0" w:color="auto"/>
            <w:bottom w:val="none" w:sz="0" w:space="0" w:color="auto"/>
            <w:right w:val="none" w:sz="0" w:space="0" w:color="auto"/>
          </w:divBdr>
        </w:div>
      </w:divsChild>
    </w:div>
    <w:div w:id="584609804">
      <w:bodyDiv w:val="1"/>
      <w:marLeft w:val="0"/>
      <w:marRight w:val="0"/>
      <w:marTop w:val="0"/>
      <w:marBottom w:val="0"/>
      <w:divBdr>
        <w:top w:val="none" w:sz="0" w:space="0" w:color="auto"/>
        <w:left w:val="none" w:sz="0" w:space="0" w:color="auto"/>
        <w:bottom w:val="none" w:sz="0" w:space="0" w:color="auto"/>
        <w:right w:val="none" w:sz="0" w:space="0" w:color="auto"/>
      </w:divBdr>
    </w:div>
    <w:div w:id="624197533">
      <w:bodyDiv w:val="1"/>
      <w:marLeft w:val="0"/>
      <w:marRight w:val="0"/>
      <w:marTop w:val="0"/>
      <w:marBottom w:val="0"/>
      <w:divBdr>
        <w:top w:val="none" w:sz="0" w:space="0" w:color="auto"/>
        <w:left w:val="none" w:sz="0" w:space="0" w:color="auto"/>
        <w:bottom w:val="none" w:sz="0" w:space="0" w:color="auto"/>
        <w:right w:val="none" w:sz="0" w:space="0" w:color="auto"/>
      </w:divBdr>
      <w:divsChild>
        <w:div w:id="768352096">
          <w:marLeft w:val="0"/>
          <w:marRight w:val="0"/>
          <w:marTop w:val="60"/>
          <w:marBottom w:val="60"/>
          <w:divBdr>
            <w:top w:val="none" w:sz="0" w:space="0" w:color="auto"/>
            <w:left w:val="none" w:sz="0" w:space="0" w:color="auto"/>
            <w:bottom w:val="none" w:sz="0" w:space="0" w:color="auto"/>
            <w:right w:val="none" w:sz="0" w:space="0" w:color="auto"/>
          </w:divBdr>
        </w:div>
      </w:divsChild>
    </w:div>
    <w:div w:id="708722535">
      <w:bodyDiv w:val="1"/>
      <w:marLeft w:val="0"/>
      <w:marRight w:val="0"/>
      <w:marTop w:val="0"/>
      <w:marBottom w:val="0"/>
      <w:divBdr>
        <w:top w:val="none" w:sz="0" w:space="0" w:color="auto"/>
        <w:left w:val="none" w:sz="0" w:space="0" w:color="auto"/>
        <w:bottom w:val="none" w:sz="0" w:space="0" w:color="auto"/>
        <w:right w:val="none" w:sz="0" w:space="0" w:color="auto"/>
      </w:divBdr>
      <w:divsChild>
        <w:div w:id="245380154">
          <w:marLeft w:val="0"/>
          <w:marRight w:val="0"/>
          <w:marTop w:val="60"/>
          <w:marBottom w:val="60"/>
          <w:divBdr>
            <w:top w:val="none" w:sz="0" w:space="0" w:color="auto"/>
            <w:left w:val="none" w:sz="0" w:space="0" w:color="auto"/>
            <w:bottom w:val="none" w:sz="0" w:space="0" w:color="auto"/>
            <w:right w:val="none" w:sz="0" w:space="0" w:color="auto"/>
          </w:divBdr>
        </w:div>
      </w:divsChild>
    </w:div>
    <w:div w:id="1147748440">
      <w:bodyDiv w:val="1"/>
      <w:marLeft w:val="0"/>
      <w:marRight w:val="0"/>
      <w:marTop w:val="0"/>
      <w:marBottom w:val="0"/>
      <w:divBdr>
        <w:top w:val="none" w:sz="0" w:space="0" w:color="auto"/>
        <w:left w:val="none" w:sz="0" w:space="0" w:color="auto"/>
        <w:bottom w:val="none" w:sz="0" w:space="0" w:color="auto"/>
        <w:right w:val="none" w:sz="0" w:space="0" w:color="auto"/>
      </w:divBdr>
    </w:div>
    <w:div w:id="1381127081">
      <w:bodyDiv w:val="1"/>
      <w:marLeft w:val="0"/>
      <w:marRight w:val="0"/>
      <w:marTop w:val="0"/>
      <w:marBottom w:val="0"/>
      <w:divBdr>
        <w:top w:val="none" w:sz="0" w:space="0" w:color="auto"/>
        <w:left w:val="none" w:sz="0" w:space="0" w:color="auto"/>
        <w:bottom w:val="none" w:sz="0" w:space="0" w:color="auto"/>
        <w:right w:val="none" w:sz="0" w:space="0" w:color="auto"/>
      </w:divBdr>
      <w:divsChild>
        <w:div w:id="1577015471">
          <w:marLeft w:val="0"/>
          <w:marRight w:val="0"/>
          <w:marTop w:val="60"/>
          <w:marBottom w:val="60"/>
          <w:divBdr>
            <w:top w:val="none" w:sz="0" w:space="0" w:color="auto"/>
            <w:left w:val="none" w:sz="0" w:space="0" w:color="auto"/>
            <w:bottom w:val="none" w:sz="0" w:space="0" w:color="auto"/>
            <w:right w:val="none" w:sz="0" w:space="0" w:color="auto"/>
          </w:divBdr>
        </w:div>
      </w:divsChild>
    </w:div>
    <w:div w:id="1829131124">
      <w:bodyDiv w:val="1"/>
      <w:marLeft w:val="0"/>
      <w:marRight w:val="0"/>
      <w:marTop w:val="0"/>
      <w:marBottom w:val="0"/>
      <w:divBdr>
        <w:top w:val="none" w:sz="0" w:space="0" w:color="auto"/>
        <w:left w:val="none" w:sz="0" w:space="0" w:color="auto"/>
        <w:bottom w:val="none" w:sz="0" w:space="0" w:color="auto"/>
        <w:right w:val="none" w:sz="0" w:space="0" w:color="auto"/>
      </w:divBdr>
      <w:divsChild>
        <w:div w:id="1345589985">
          <w:marLeft w:val="0"/>
          <w:marRight w:val="0"/>
          <w:marTop w:val="60"/>
          <w:marBottom w:val="60"/>
          <w:divBdr>
            <w:top w:val="none" w:sz="0" w:space="0" w:color="auto"/>
            <w:left w:val="none" w:sz="0" w:space="0" w:color="auto"/>
            <w:bottom w:val="none" w:sz="0" w:space="0" w:color="auto"/>
            <w:right w:val="none" w:sz="0" w:space="0" w:color="auto"/>
          </w:divBdr>
        </w:div>
        <w:div w:id="1077289387">
          <w:marLeft w:val="0"/>
          <w:marRight w:val="0"/>
          <w:marTop w:val="60"/>
          <w:marBottom w:val="60"/>
          <w:divBdr>
            <w:top w:val="none" w:sz="0" w:space="0" w:color="auto"/>
            <w:left w:val="none" w:sz="0" w:space="0" w:color="auto"/>
            <w:bottom w:val="none" w:sz="0" w:space="0" w:color="auto"/>
            <w:right w:val="none" w:sz="0" w:space="0" w:color="auto"/>
          </w:divBdr>
        </w:div>
        <w:div w:id="945650909">
          <w:marLeft w:val="0"/>
          <w:marRight w:val="0"/>
          <w:marTop w:val="60"/>
          <w:marBottom w:val="60"/>
          <w:divBdr>
            <w:top w:val="none" w:sz="0" w:space="0" w:color="auto"/>
            <w:left w:val="none" w:sz="0" w:space="0" w:color="auto"/>
            <w:bottom w:val="none" w:sz="0" w:space="0" w:color="auto"/>
            <w:right w:val="none" w:sz="0" w:space="0" w:color="auto"/>
          </w:divBdr>
        </w:div>
        <w:div w:id="1641419025">
          <w:marLeft w:val="0"/>
          <w:marRight w:val="0"/>
          <w:marTop w:val="60"/>
          <w:marBottom w:val="60"/>
          <w:divBdr>
            <w:top w:val="none" w:sz="0" w:space="0" w:color="auto"/>
            <w:left w:val="none" w:sz="0" w:space="0" w:color="auto"/>
            <w:bottom w:val="none" w:sz="0" w:space="0" w:color="auto"/>
            <w:right w:val="none" w:sz="0" w:space="0" w:color="auto"/>
          </w:divBdr>
        </w:div>
        <w:div w:id="1161888209">
          <w:marLeft w:val="0"/>
          <w:marRight w:val="0"/>
          <w:marTop w:val="60"/>
          <w:marBottom w:val="60"/>
          <w:divBdr>
            <w:top w:val="none" w:sz="0" w:space="0" w:color="auto"/>
            <w:left w:val="none" w:sz="0" w:space="0" w:color="auto"/>
            <w:bottom w:val="none" w:sz="0" w:space="0" w:color="auto"/>
            <w:right w:val="none" w:sz="0" w:space="0" w:color="auto"/>
          </w:divBdr>
        </w:div>
        <w:div w:id="849373381">
          <w:marLeft w:val="0"/>
          <w:marRight w:val="0"/>
          <w:marTop w:val="60"/>
          <w:marBottom w:val="60"/>
          <w:divBdr>
            <w:top w:val="none" w:sz="0" w:space="0" w:color="auto"/>
            <w:left w:val="none" w:sz="0" w:space="0" w:color="auto"/>
            <w:bottom w:val="none" w:sz="0" w:space="0" w:color="auto"/>
            <w:right w:val="none" w:sz="0" w:space="0" w:color="auto"/>
          </w:divBdr>
        </w:div>
        <w:div w:id="4478204">
          <w:marLeft w:val="0"/>
          <w:marRight w:val="0"/>
          <w:marTop w:val="60"/>
          <w:marBottom w:val="60"/>
          <w:divBdr>
            <w:top w:val="none" w:sz="0" w:space="0" w:color="auto"/>
            <w:left w:val="none" w:sz="0" w:space="0" w:color="auto"/>
            <w:bottom w:val="none" w:sz="0" w:space="0" w:color="auto"/>
            <w:right w:val="none" w:sz="0" w:space="0" w:color="auto"/>
          </w:divBdr>
        </w:div>
      </w:divsChild>
    </w:div>
    <w:div w:id="2071883197">
      <w:bodyDiv w:val="1"/>
      <w:marLeft w:val="0"/>
      <w:marRight w:val="0"/>
      <w:marTop w:val="0"/>
      <w:marBottom w:val="0"/>
      <w:divBdr>
        <w:top w:val="none" w:sz="0" w:space="0" w:color="auto"/>
        <w:left w:val="none" w:sz="0" w:space="0" w:color="auto"/>
        <w:bottom w:val="none" w:sz="0" w:space="0" w:color="auto"/>
        <w:right w:val="none" w:sz="0" w:space="0" w:color="auto"/>
      </w:divBdr>
      <w:divsChild>
        <w:div w:id="967928405">
          <w:marLeft w:val="0"/>
          <w:marRight w:val="0"/>
          <w:marTop w:val="60"/>
          <w:marBottom w:val="60"/>
          <w:divBdr>
            <w:top w:val="none" w:sz="0" w:space="0" w:color="auto"/>
            <w:left w:val="none" w:sz="0" w:space="0" w:color="auto"/>
            <w:bottom w:val="none" w:sz="0" w:space="0" w:color="auto"/>
            <w:right w:val="none" w:sz="0" w:space="0" w:color="auto"/>
          </w:divBdr>
        </w:div>
        <w:div w:id="1696883134">
          <w:marLeft w:val="0"/>
          <w:marRight w:val="0"/>
          <w:marTop w:val="60"/>
          <w:marBottom w:val="60"/>
          <w:divBdr>
            <w:top w:val="none" w:sz="0" w:space="0" w:color="auto"/>
            <w:left w:val="none" w:sz="0" w:space="0" w:color="auto"/>
            <w:bottom w:val="none" w:sz="0" w:space="0" w:color="auto"/>
            <w:right w:val="none" w:sz="0" w:space="0" w:color="auto"/>
          </w:divBdr>
        </w:div>
        <w:div w:id="508104263">
          <w:marLeft w:val="0"/>
          <w:marRight w:val="0"/>
          <w:marTop w:val="60"/>
          <w:marBottom w:val="60"/>
          <w:divBdr>
            <w:top w:val="none" w:sz="0" w:space="0" w:color="auto"/>
            <w:left w:val="none" w:sz="0" w:space="0" w:color="auto"/>
            <w:bottom w:val="none" w:sz="0" w:space="0" w:color="auto"/>
            <w:right w:val="none" w:sz="0" w:space="0" w:color="auto"/>
          </w:divBdr>
        </w:div>
        <w:div w:id="126926844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ndonesia" TargetMode="External"/><Relationship Id="rId21" Type="http://schemas.openxmlformats.org/officeDocument/2006/relationships/image" Target="media/image1.png"/><Relationship Id="rId42" Type="http://schemas.openxmlformats.org/officeDocument/2006/relationships/hyperlink" Target="https://en.wikipedia.org/wiki/Economy_of_Russia" TargetMode="External"/><Relationship Id="rId63" Type="http://schemas.openxmlformats.org/officeDocument/2006/relationships/hyperlink" Target="https://en.wikipedia.org/wiki/Foreign_exchange_reserves" TargetMode="External"/><Relationship Id="rId84" Type="http://schemas.openxmlformats.org/officeDocument/2006/relationships/hyperlink" Target="https://en.wikipedia.org/wiki/Energy_policy_of_the_European_Union" TargetMode="External"/><Relationship Id="rId138" Type="http://schemas.openxmlformats.org/officeDocument/2006/relationships/hyperlink" Target="https://en.wikipedia.org/wiki/Belgium" TargetMode="External"/><Relationship Id="rId159" Type="http://schemas.openxmlformats.org/officeDocument/2006/relationships/hyperlink" Target="https://en.wikipedia.org/wiki/South_Korean_won" TargetMode="External"/><Relationship Id="rId170" Type="http://schemas.openxmlformats.org/officeDocument/2006/relationships/hyperlink" Target="https://en.wikipedia.org/wiki/Korean_reunification" TargetMode="External"/><Relationship Id="rId107" Type="http://schemas.openxmlformats.org/officeDocument/2006/relationships/hyperlink" Target="https://en.wikipedia.org/wiki/Bahrain" TargetMode="External"/><Relationship Id="rId11" Type="http://schemas.openxmlformats.org/officeDocument/2006/relationships/hyperlink" Target="https://pl.wikipedia.org/wiki/Egipt" TargetMode="External"/><Relationship Id="rId32" Type="http://schemas.openxmlformats.org/officeDocument/2006/relationships/hyperlink" Target="https://en.wikipedia.org/wiki/Jim_O%27Neill,_Baron_O%27Neill_of_Gatley" TargetMode="External"/><Relationship Id="rId53" Type="http://schemas.openxmlformats.org/officeDocument/2006/relationships/hyperlink" Target="https://en.wikipedia.org/wiki/Brazil" TargetMode="External"/><Relationship Id="rId74" Type="http://schemas.openxmlformats.org/officeDocument/2006/relationships/hyperlink" Target="https://en.wikipedia.org/wiki/The_Heritage_Foundation" TargetMode="External"/><Relationship Id="rId128" Type="http://schemas.openxmlformats.org/officeDocument/2006/relationships/hyperlink" Target="https://en.wikipedia.org/wiki/USD" TargetMode="External"/><Relationship Id="rId149" Type="http://schemas.openxmlformats.org/officeDocument/2006/relationships/hyperlink" Target="https://en.wikipedia.org/wiki/United_Kingdom" TargetMode="External"/><Relationship Id="rId5" Type="http://schemas.openxmlformats.org/officeDocument/2006/relationships/hyperlink" Target="https://pl.wikipedia.org/wiki/J%C4%99zyk_angielski" TargetMode="External"/><Relationship Id="rId95" Type="http://schemas.openxmlformats.org/officeDocument/2006/relationships/hyperlink" Target="https://en.wikipedia.org/wiki/Billionaire" TargetMode="External"/><Relationship Id="rId160" Type="http://schemas.openxmlformats.org/officeDocument/2006/relationships/hyperlink" Target="https://en.wikipedia.org/wiki/Exports" TargetMode="External"/><Relationship Id="rId181" Type="http://schemas.openxmlformats.org/officeDocument/2006/relationships/theme" Target="theme/theme1.xml"/><Relationship Id="rId22" Type="http://schemas.openxmlformats.org/officeDocument/2006/relationships/hyperlink" Target="https://en.wikipedia.org/wiki/File:BRIC2010.jpg" TargetMode="External"/><Relationship Id="rId43" Type="http://schemas.openxmlformats.org/officeDocument/2006/relationships/hyperlink" Target="https://en.wikipedia.org/wiki/Economy_of_India" TargetMode="External"/><Relationship Id="rId64" Type="http://schemas.openxmlformats.org/officeDocument/2006/relationships/hyperlink" Target="https://en.wikipedia.org/wiki/Market_(economics)" TargetMode="External"/><Relationship Id="rId118" Type="http://schemas.openxmlformats.org/officeDocument/2006/relationships/hyperlink" Target="https://en.wikipedia.org/wiki/Iran" TargetMode="External"/><Relationship Id="rId139" Type="http://schemas.openxmlformats.org/officeDocument/2006/relationships/hyperlink" Target="https://en.wikipedia.org/wiki/Japan" TargetMode="External"/><Relationship Id="rId85" Type="http://schemas.openxmlformats.org/officeDocument/2006/relationships/hyperlink" Target="https://en.wikipedia.org/wiki/Historical_GDP_of_the_People%27s_Republic_of_China" TargetMode="External"/><Relationship Id="rId150" Type="http://schemas.openxmlformats.org/officeDocument/2006/relationships/hyperlink" Target="https://en.wikipedia.org/wiki/Australia" TargetMode="External"/><Relationship Id="rId171" Type="http://schemas.openxmlformats.org/officeDocument/2006/relationships/image" Target="media/image6.png"/><Relationship Id="rId12" Type="http://schemas.openxmlformats.org/officeDocument/2006/relationships/hyperlink" Target="https://pl.wikipedia.org/wiki/Etiopia" TargetMode="External"/><Relationship Id="rId33" Type="http://schemas.openxmlformats.org/officeDocument/2006/relationships/hyperlink" Target="https://en.wikipedia.org/wiki/Southern_Africa" TargetMode="External"/><Relationship Id="rId108" Type="http://schemas.openxmlformats.org/officeDocument/2006/relationships/hyperlink" Target="https://en.wikipedia.org/wiki/Oman" TargetMode="External"/><Relationship Id="rId129" Type="http://schemas.openxmlformats.org/officeDocument/2006/relationships/hyperlink" Target="https://en.wikipedia.org/wiki/GDP_per_capita" TargetMode="External"/><Relationship Id="rId54" Type="http://schemas.openxmlformats.org/officeDocument/2006/relationships/hyperlink" Target="https://en.wikipedia.org/wiki/Russia" TargetMode="External"/><Relationship Id="rId75" Type="http://schemas.openxmlformats.org/officeDocument/2006/relationships/hyperlink" Target="https://en.wikipedia.org/wiki/Henry_Kissinger" TargetMode="External"/><Relationship Id="rId96" Type="http://schemas.openxmlformats.org/officeDocument/2006/relationships/hyperlink" Target="https://en.wikipedia.org/wiki/File:Historical_top_10_nominal_GDP_proportion_2018.svg" TargetMode="External"/><Relationship Id="rId140" Type="http://schemas.openxmlformats.org/officeDocument/2006/relationships/hyperlink" Target="https://en.wikipedia.org/wiki/OECD" TargetMode="External"/><Relationship Id="rId161" Type="http://schemas.openxmlformats.org/officeDocument/2006/relationships/hyperlink" Target="https://en.wikipedia.org/wiki/IMF" TargetMode="External"/><Relationship Id="rId6" Type="http://schemas.openxmlformats.org/officeDocument/2006/relationships/hyperlink" Target="https://pl.wikipedia.org/wiki/Goldman_Sachs" TargetMode="External"/><Relationship Id="rId23" Type="http://schemas.openxmlformats.org/officeDocument/2006/relationships/image" Target="media/image2.jpeg"/><Relationship Id="rId119" Type="http://schemas.openxmlformats.org/officeDocument/2006/relationships/hyperlink" Target="https://en.wikipedia.org/wiki/Mexico" TargetMode="External"/><Relationship Id="rId44" Type="http://schemas.openxmlformats.org/officeDocument/2006/relationships/hyperlink" Target="https://en.wikipedia.org/wiki/Economy_of_China" TargetMode="External"/><Relationship Id="rId60" Type="http://schemas.openxmlformats.org/officeDocument/2006/relationships/hyperlink" Target="https://en.wikipedia.org/wiki/Polity" TargetMode="External"/><Relationship Id="rId65" Type="http://schemas.openxmlformats.org/officeDocument/2006/relationships/hyperlink" Target="https://en.wikipedia.org/wiki/Group_of_Two" TargetMode="External"/><Relationship Id="rId81" Type="http://schemas.openxmlformats.org/officeDocument/2006/relationships/hyperlink" Target="https://en.wikipedia.org/wiki/The_Economist" TargetMode="External"/><Relationship Id="rId86" Type="http://schemas.openxmlformats.org/officeDocument/2006/relationships/hyperlink" Target="https://en.wikipedia.org/wiki/Economic_impact_of_the_COVID-19_pandemic" TargetMode="External"/><Relationship Id="rId130" Type="http://schemas.openxmlformats.org/officeDocument/2006/relationships/hyperlink" Target="https://en.wikipedia.org/wiki/GDP_growth" TargetMode="External"/><Relationship Id="rId135" Type="http://schemas.openxmlformats.org/officeDocument/2006/relationships/hyperlink" Target="https://en.wikipedia.org/wiki/Austria" TargetMode="External"/><Relationship Id="rId151" Type="http://schemas.openxmlformats.org/officeDocument/2006/relationships/hyperlink" Target="https://en.wikipedia.org/wiki/Sweden" TargetMode="External"/><Relationship Id="rId156" Type="http://schemas.openxmlformats.org/officeDocument/2006/relationships/hyperlink" Target="https://en.wikipedia.org/wiki/United_States" TargetMode="External"/><Relationship Id="rId177" Type="http://schemas.openxmlformats.org/officeDocument/2006/relationships/hyperlink" Target="https://en.wikipedia.org/wiki/GDP_per_capita" TargetMode="External"/><Relationship Id="rId172" Type="http://schemas.openxmlformats.org/officeDocument/2006/relationships/hyperlink" Target="https://en.wikipedia.org/wiki/South_Korea" TargetMode="External"/><Relationship Id="rId13" Type="http://schemas.openxmlformats.org/officeDocument/2006/relationships/hyperlink" Target="https://pl.wikipedia.org/wiki/Arabia_Saudyjska" TargetMode="External"/><Relationship Id="rId18" Type="http://schemas.openxmlformats.org/officeDocument/2006/relationships/hyperlink" Target="https://pl.wikipedia.org/wiki/Unia_Europejska" TargetMode="External"/><Relationship Id="rId39" Type="http://schemas.openxmlformats.org/officeDocument/2006/relationships/hyperlink" Target="https://en.wikipedia.org/wiki/Goldman_Sachs" TargetMode="External"/><Relationship Id="rId109" Type="http://schemas.openxmlformats.org/officeDocument/2006/relationships/hyperlink" Target="https://en.wikipedia.org/wiki/United_Arab_Emirates" TargetMode="External"/><Relationship Id="rId34" Type="http://schemas.openxmlformats.org/officeDocument/2006/relationships/hyperlink" Target="https://en.wikipedia.org/wiki/China%E2%80%93South_Africa_relations" TargetMode="External"/><Relationship Id="rId50" Type="http://schemas.openxmlformats.org/officeDocument/2006/relationships/hyperlink" Target="https://en.wikipedia.org/wiki/Economic_power" TargetMode="External"/><Relationship Id="rId55" Type="http://schemas.openxmlformats.org/officeDocument/2006/relationships/hyperlink" Target="https://en.wikipedia.org/wiki/India" TargetMode="External"/><Relationship Id="rId76" Type="http://schemas.openxmlformats.org/officeDocument/2006/relationships/hyperlink" Target="https://en.wikipedia.org/wiki/Advanced_economies" TargetMode="External"/><Relationship Id="rId97" Type="http://schemas.openxmlformats.org/officeDocument/2006/relationships/image" Target="media/image3.png"/><Relationship Id="rId104" Type="http://schemas.openxmlformats.org/officeDocument/2006/relationships/hyperlink" Target="https://en.wikipedia.org/wiki/Saudi_Arabia" TargetMode="External"/><Relationship Id="rId120" Type="http://schemas.openxmlformats.org/officeDocument/2006/relationships/hyperlink" Target="https://en.wikipedia.org/wiki/Nigeria" TargetMode="External"/><Relationship Id="rId125" Type="http://schemas.openxmlformats.org/officeDocument/2006/relationships/hyperlink" Target="https://en.wikipedia.org/wiki/Vietnam" TargetMode="External"/><Relationship Id="rId141" Type="http://schemas.openxmlformats.org/officeDocument/2006/relationships/hyperlink" Target="https://en.wikipedia.org/wiki/IMF" TargetMode="External"/><Relationship Id="rId146" Type="http://schemas.openxmlformats.org/officeDocument/2006/relationships/hyperlink" Target="https://en.wikipedia.org/wiki/List_of_countries_by_past_and_future_GDP_(PPP)_per_capita" TargetMode="External"/><Relationship Id="rId167" Type="http://schemas.openxmlformats.org/officeDocument/2006/relationships/hyperlink" Target="https://en.wikipedia.org/wiki/Japan" TargetMode="External"/><Relationship Id="rId7" Type="http://schemas.openxmlformats.org/officeDocument/2006/relationships/hyperlink" Target="https://pl.wikipedia.org/wiki/Zgromadzenie_Og%C3%B3lne_Organizacji_Narod%C3%B3w_Zjednoczonych" TargetMode="External"/><Relationship Id="rId71" Type="http://schemas.openxmlformats.org/officeDocument/2006/relationships/hyperlink" Target="https://en.wikipedia.org/wiki/BRICS" TargetMode="External"/><Relationship Id="rId92" Type="http://schemas.openxmlformats.org/officeDocument/2006/relationships/hyperlink" Target="https://en.wikipedia.org/wiki/Fitch_Ratings" TargetMode="External"/><Relationship Id="rId162" Type="http://schemas.openxmlformats.org/officeDocument/2006/relationships/hyperlink" Target="https://en.wikipedia.org/wiki/Spain" TargetMode="External"/><Relationship Id="rId2" Type="http://schemas.openxmlformats.org/officeDocument/2006/relationships/styles" Target="styles.xml"/><Relationship Id="rId29" Type="http://schemas.openxmlformats.org/officeDocument/2006/relationships/hyperlink" Target="https://en.wikipedia.org/wiki/Yevgeny_Primakov" TargetMode="External"/><Relationship Id="rId24" Type="http://schemas.openxmlformats.org/officeDocument/2006/relationships/hyperlink" Target="https://en.wikipedia.org/wiki/Vladimir_Putin" TargetMode="External"/><Relationship Id="rId40" Type="http://schemas.openxmlformats.org/officeDocument/2006/relationships/hyperlink" Target="https://en.wikipedia.org/wiki/Economic_potential" TargetMode="External"/><Relationship Id="rId45" Type="http://schemas.openxmlformats.org/officeDocument/2006/relationships/hyperlink" Target="https://en.wikipedia.org/wiki/Gross_domestic_product" TargetMode="External"/><Relationship Id="rId66" Type="http://schemas.openxmlformats.org/officeDocument/2006/relationships/hyperlink" Target="https://en.wikipedia.org/wiki/G8" TargetMode="External"/><Relationship Id="rId87" Type="http://schemas.openxmlformats.org/officeDocument/2006/relationships/hyperlink" Target="https://en.wikipedia.org/wiki/Economy_of_Japan" TargetMode="External"/><Relationship Id="rId110" Type="http://schemas.openxmlformats.org/officeDocument/2006/relationships/hyperlink" Target="https://en.wikipedia.org/wiki/Turkey" TargetMode="External"/><Relationship Id="rId115" Type="http://schemas.openxmlformats.org/officeDocument/2006/relationships/hyperlink" Target="https://en.wikipedia.org/wiki/Bangladesh" TargetMode="External"/><Relationship Id="rId131" Type="http://schemas.openxmlformats.org/officeDocument/2006/relationships/hyperlink" Target="https://en.wikipedia.org/wiki/Population" TargetMode="External"/><Relationship Id="rId136" Type="http://schemas.openxmlformats.org/officeDocument/2006/relationships/hyperlink" Target="https://en.wikipedia.org/wiki/Denmark" TargetMode="External"/><Relationship Id="rId157" Type="http://schemas.openxmlformats.org/officeDocument/2006/relationships/hyperlink" Target="https://en.wikipedia.org/wiki/South_Korean_economy" TargetMode="External"/><Relationship Id="rId178" Type="http://schemas.openxmlformats.org/officeDocument/2006/relationships/hyperlink" Target="https://en.wikipedia.org/wiki/GDP_growth" TargetMode="External"/><Relationship Id="rId61" Type="http://schemas.openxmlformats.org/officeDocument/2006/relationships/hyperlink" Target="https://en.wikipedia.org/wiki/David_Rothkopf" TargetMode="External"/><Relationship Id="rId82" Type="http://schemas.openxmlformats.org/officeDocument/2006/relationships/hyperlink" Target="https://en.wikipedia.org/wiki/Middle_class" TargetMode="External"/><Relationship Id="rId152" Type="http://schemas.openxmlformats.org/officeDocument/2006/relationships/hyperlink" Target="https://en.wikipedia.org/wiki/Canada" TargetMode="External"/><Relationship Id="rId173" Type="http://schemas.openxmlformats.org/officeDocument/2006/relationships/image" Target="media/image7.png"/><Relationship Id="rId19" Type="http://schemas.openxmlformats.org/officeDocument/2006/relationships/hyperlink" Target="https://pl.wikipedia.org/wiki/Organizacja_Narod%C3%B3w_Zjednoczonych" TargetMode="External"/><Relationship Id="rId14" Type="http://schemas.openxmlformats.org/officeDocument/2006/relationships/hyperlink" Target="https://pl.wikipedia.org/wiki/Iran" TargetMode="External"/><Relationship Id="rId30" Type="http://schemas.openxmlformats.org/officeDocument/2006/relationships/hyperlink" Target="https://en.wikipedia.org/wiki/G20" TargetMode="External"/><Relationship Id="rId35" Type="http://schemas.openxmlformats.org/officeDocument/2006/relationships/hyperlink" Target="https://en.wikipedia.org/wiki/Africa%E2%80%93India_relations" TargetMode="External"/><Relationship Id="rId56" Type="http://schemas.openxmlformats.org/officeDocument/2006/relationships/hyperlink" Target="https://en.wikipedia.org/wiki/China" TargetMode="External"/><Relationship Id="rId77" Type="http://schemas.openxmlformats.org/officeDocument/2006/relationships/hyperlink" Target="https://en.wikipedia.org/wiki/Energy_policy_of_India" TargetMode="External"/><Relationship Id="rId100" Type="http://schemas.openxmlformats.org/officeDocument/2006/relationships/hyperlink" Target="https://en.wikipedia.org/wiki/Goldman_Sachs" TargetMode="External"/><Relationship Id="rId105" Type="http://schemas.openxmlformats.org/officeDocument/2006/relationships/hyperlink" Target="https://en.wikipedia.org/wiki/Qatar" TargetMode="External"/><Relationship Id="rId126" Type="http://schemas.openxmlformats.org/officeDocument/2006/relationships/hyperlink" Target="https://en.wikipedia.org/wiki/China" TargetMode="External"/><Relationship Id="rId147" Type="http://schemas.openxmlformats.org/officeDocument/2006/relationships/hyperlink" Target="https://en.wikipedia.org/wiki/Spain" TargetMode="External"/><Relationship Id="rId168" Type="http://schemas.openxmlformats.org/officeDocument/2006/relationships/hyperlink" Target="https://en.wikipedia.org/wiki/Korea" TargetMode="External"/><Relationship Id="rId8" Type="http://schemas.openxmlformats.org/officeDocument/2006/relationships/hyperlink" Target="https://pl.wikipedia.org/wiki/Nowy_Jork" TargetMode="External"/><Relationship Id="rId51" Type="http://schemas.openxmlformats.org/officeDocument/2006/relationships/hyperlink" Target="https://en.wikipedia.org/wiki/United_States" TargetMode="External"/><Relationship Id="rId72" Type="http://schemas.openxmlformats.org/officeDocument/2006/relationships/hyperlink" Target="https://en.wikipedia.org/wiki/The_Economist" TargetMode="External"/><Relationship Id="rId93" Type="http://schemas.openxmlformats.org/officeDocument/2006/relationships/hyperlink" Target="https://en.wikipedia.org/wiki/Bond_credit_rating" TargetMode="External"/><Relationship Id="rId98" Type="http://schemas.openxmlformats.org/officeDocument/2006/relationships/hyperlink" Target="https://en.wikipedia.org/wiki/File:Top_five_largest_economies_in_2050.jpg" TargetMode="External"/><Relationship Id="rId121" Type="http://schemas.openxmlformats.org/officeDocument/2006/relationships/hyperlink" Target="https://en.wikipedia.org/wiki/Pakistan" TargetMode="External"/><Relationship Id="rId142" Type="http://schemas.openxmlformats.org/officeDocument/2006/relationships/hyperlink" Target="https://en.wikipedia.org/wiki/GDP" TargetMode="External"/><Relationship Id="rId163" Type="http://schemas.openxmlformats.org/officeDocument/2006/relationships/hyperlink" Target="https://en.wikipedia.org/wiki/Nominal_GDP" TargetMode="External"/><Relationship Id="rId3" Type="http://schemas.openxmlformats.org/officeDocument/2006/relationships/settings" Target="settings.xml"/><Relationship Id="rId25" Type="http://schemas.openxmlformats.org/officeDocument/2006/relationships/hyperlink" Target="https://en.wikipedia.org/wiki/Wikipedia:Writing_better_articles" TargetMode="External"/><Relationship Id="rId46" Type="http://schemas.openxmlformats.org/officeDocument/2006/relationships/hyperlink" Target="https://en.wikipedia.org/wiki/Emerging_market" TargetMode="External"/><Relationship Id="rId67" Type="http://schemas.openxmlformats.org/officeDocument/2006/relationships/hyperlink" Target="https://en.wikipedia.org/wiki/Deutsche_Bank" TargetMode="External"/><Relationship Id="rId116" Type="http://schemas.openxmlformats.org/officeDocument/2006/relationships/hyperlink" Target="https://en.wikipedia.org/wiki/Egypt" TargetMode="External"/><Relationship Id="rId137" Type="http://schemas.openxmlformats.org/officeDocument/2006/relationships/hyperlink" Target="https://en.wikipedia.org/wiki/Finland" TargetMode="External"/><Relationship Id="rId158" Type="http://schemas.openxmlformats.org/officeDocument/2006/relationships/hyperlink" Target="https://en.wikipedia.org/wiki/Nominal_GDP" TargetMode="External"/><Relationship Id="rId20" Type="http://schemas.openxmlformats.org/officeDocument/2006/relationships/hyperlink" Target="https://pl.wikipedia.org/wiki/Plik:GDP_BRICS_G7.svg" TargetMode="External"/><Relationship Id="rId41" Type="http://schemas.openxmlformats.org/officeDocument/2006/relationships/hyperlink" Target="https://en.wikipedia.org/wiki/Economy_of_Brazil" TargetMode="External"/><Relationship Id="rId62" Type="http://schemas.openxmlformats.org/officeDocument/2006/relationships/hyperlink" Target="https://en.wikipedia.org/wiki/Veto_power" TargetMode="External"/><Relationship Id="rId83" Type="http://schemas.openxmlformats.org/officeDocument/2006/relationships/hyperlink" Target="https://en.wikipedia.org/wiki/United_States" TargetMode="External"/><Relationship Id="rId88" Type="http://schemas.openxmlformats.org/officeDocument/2006/relationships/hyperlink" Target="https://en.wikipedia.org/wiki/National_Institute_of_Economic_and_Social_Research" TargetMode="External"/><Relationship Id="rId111" Type="http://schemas.openxmlformats.org/officeDocument/2006/relationships/hyperlink" Target="https://en.wikipedia.org/wiki/Marketing" TargetMode="External"/><Relationship Id="rId132" Type="http://schemas.openxmlformats.org/officeDocument/2006/relationships/hyperlink" Target="https://en.wikipedia.org/wiki/Human_Development_Index" TargetMode="External"/><Relationship Id="rId153" Type="http://schemas.openxmlformats.org/officeDocument/2006/relationships/hyperlink" Target="https://en.wikipedia.org/wiki/Switzerland" TargetMode="External"/><Relationship Id="rId174" Type="http://schemas.openxmlformats.org/officeDocument/2006/relationships/hyperlink" Target="https://en.wikipedia.org/wiki/North_Korea" TargetMode="External"/><Relationship Id="rId179" Type="http://schemas.openxmlformats.org/officeDocument/2006/relationships/hyperlink" Target="https://en.wikipedia.org/wiki/Population" TargetMode="External"/><Relationship Id="rId15" Type="http://schemas.openxmlformats.org/officeDocument/2006/relationships/hyperlink" Target="https://pl.wikipedia.org/wiki/Zjednoczone_Emiraty_Arabskie" TargetMode="External"/><Relationship Id="rId36" Type="http://schemas.openxmlformats.org/officeDocument/2006/relationships/hyperlink" Target="https://en.wikipedia.org/wiki/Jim_O%27Neill,_Baron_O%27Neill_of_Gatley" TargetMode="External"/><Relationship Id="rId57" Type="http://schemas.openxmlformats.org/officeDocument/2006/relationships/hyperlink" Target="https://en.wikipedia.org/wiki/Capitalism" TargetMode="External"/><Relationship Id="rId106" Type="http://schemas.openxmlformats.org/officeDocument/2006/relationships/hyperlink" Target="https://en.wikipedia.org/wiki/Kuwait" TargetMode="External"/><Relationship Id="rId127" Type="http://schemas.openxmlformats.org/officeDocument/2006/relationships/hyperlink" Target="https://en.wikipedia.org/wiki/GDP" TargetMode="External"/><Relationship Id="rId10" Type="http://schemas.openxmlformats.org/officeDocument/2006/relationships/hyperlink" Target="https://pl.wikipedia.org/wiki/Argentyna" TargetMode="External"/><Relationship Id="rId31" Type="http://schemas.openxmlformats.org/officeDocument/2006/relationships/hyperlink" Target="https://en.wikipedia.org/wiki/Jacob_Zuma" TargetMode="External"/><Relationship Id="rId52" Type="http://schemas.openxmlformats.org/officeDocument/2006/relationships/hyperlink" Target="https://en.wikipedia.org/wiki/Concession_(politics)" TargetMode="External"/><Relationship Id="rId73" Type="http://schemas.openxmlformats.org/officeDocument/2006/relationships/hyperlink" Target="https://en.wikipedia.org/wiki/Indices_of_economic_freedom" TargetMode="External"/><Relationship Id="rId78" Type="http://schemas.openxmlformats.org/officeDocument/2006/relationships/hyperlink" Target="https://en.wikipedia.org/wiki/Capital_market" TargetMode="External"/><Relationship Id="rId94" Type="http://schemas.openxmlformats.org/officeDocument/2006/relationships/hyperlink" Target="https://en.wikipedia.org/wiki/Forbes" TargetMode="External"/><Relationship Id="rId99" Type="http://schemas.openxmlformats.org/officeDocument/2006/relationships/image" Target="media/image4.jpeg"/><Relationship Id="rId101" Type="http://schemas.openxmlformats.org/officeDocument/2006/relationships/hyperlink" Target="https://en.wikipedia.org/wiki/Nominal_GDP" TargetMode="External"/><Relationship Id="rId122" Type="http://schemas.openxmlformats.org/officeDocument/2006/relationships/hyperlink" Target="https://en.wikipedia.org/wiki/Philippines" TargetMode="External"/><Relationship Id="rId143" Type="http://schemas.openxmlformats.org/officeDocument/2006/relationships/hyperlink" Target="https://en.wikipedia.org/wiki/Purchasing_power_parity" TargetMode="External"/><Relationship Id="rId148" Type="http://schemas.openxmlformats.org/officeDocument/2006/relationships/hyperlink" Target="https://en.wikipedia.org/wiki/Germany" TargetMode="External"/><Relationship Id="rId164" Type="http://schemas.openxmlformats.org/officeDocument/2006/relationships/hyperlink" Target="https://en.wikipedia.org/wiki/Bond_credit_rating" TargetMode="External"/><Relationship Id="rId16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l.wikipedia.org/wiki/BRICS" TargetMode="External"/><Relationship Id="rId180" Type="http://schemas.openxmlformats.org/officeDocument/2006/relationships/fontTable" Target="fontTable.xml"/><Relationship Id="rId26" Type="http://schemas.openxmlformats.org/officeDocument/2006/relationships/hyperlink" Target="https://en.wikipedia.org/wiki/Shanghai_Cooperation_Organisation" TargetMode="External"/><Relationship Id="rId47" Type="http://schemas.openxmlformats.org/officeDocument/2006/relationships/hyperlink" Target="https://en.wikipedia.org/wiki/Jim_O%27Neill,_Baron_O%27Neill_of_Gatley" TargetMode="External"/><Relationship Id="rId68" Type="http://schemas.openxmlformats.org/officeDocument/2006/relationships/hyperlink" Target="https://en.wikipedia.org/wiki/Exports" TargetMode="External"/><Relationship Id="rId89" Type="http://schemas.openxmlformats.org/officeDocument/2006/relationships/hyperlink" Target="https://en.wikipedia.org/wiki/International_Monetary_Fund" TargetMode="External"/><Relationship Id="rId112" Type="http://schemas.openxmlformats.org/officeDocument/2006/relationships/hyperlink" Target="https://en.wikipedia.org/wiki/Op-ed" TargetMode="External"/><Relationship Id="rId133" Type="http://schemas.openxmlformats.org/officeDocument/2006/relationships/hyperlink" Target="https://en.wikipedia.org/wiki/France" TargetMode="External"/><Relationship Id="rId154" Type="http://schemas.openxmlformats.org/officeDocument/2006/relationships/hyperlink" Target="https://en.wikipedia.org/wiki/Netherlands" TargetMode="External"/><Relationship Id="rId175" Type="http://schemas.openxmlformats.org/officeDocument/2006/relationships/hyperlink" Target="https://en.wikipedia.org/wiki/GDP" TargetMode="External"/><Relationship Id="rId16" Type="http://schemas.openxmlformats.org/officeDocument/2006/relationships/hyperlink" Target="https://pl.wikipedia.org/wiki/Prezydenci_Argentyny" TargetMode="External"/><Relationship Id="rId37" Type="http://schemas.openxmlformats.org/officeDocument/2006/relationships/hyperlink" Target="https://en.wikipedia.org/wiki/Southern_African_Development_Community" TargetMode="External"/><Relationship Id="rId58" Type="http://schemas.openxmlformats.org/officeDocument/2006/relationships/hyperlink" Target="https://en.wikipedia.org/wiki/Service_(economics)" TargetMode="External"/><Relationship Id="rId79" Type="http://schemas.openxmlformats.org/officeDocument/2006/relationships/hyperlink" Target="https://en.wikipedia.org/wiki/Group_of_Six" TargetMode="External"/><Relationship Id="rId102" Type="http://schemas.openxmlformats.org/officeDocument/2006/relationships/hyperlink" Target="https://en.wikipedia.org/wiki/Jim_O%27Neill,_Baron_O%27Neill_of_Gatley" TargetMode="External"/><Relationship Id="rId123" Type="http://schemas.openxmlformats.org/officeDocument/2006/relationships/hyperlink" Target="https://en.wikipedia.org/wiki/South_Korea" TargetMode="External"/><Relationship Id="rId144" Type="http://schemas.openxmlformats.org/officeDocument/2006/relationships/hyperlink" Target="https://en.wikipedia.org/wiki/Canada" TargetMode="External"/><Relationship Id="rId90" Type="http://schemas.openxmlformats.org/officeDocument/2006/relationships/hyperlink" Target="https://en.wikipedia.org/wiki/Great_Recession" TargetMode="External"/><Relationship Id="rId165" Type="http://schemas.openxmlformats.org/officeDocument/2006/relationships/hyperlink" Target="https://en.wikipedia.org/wiki/Korean_reunification" TargetMode="External"/><Relationship Id="rId27" Type="http://schemas.openxmlformats.org/officeDocument/2006/relationships/hyperlink" Target="https://en.wikipedia.org/wiki/IBSA_Dialogue_Forum" TargetMode="External"/><Relationship Id="rId48" Type="http://schemas.openxmlformats.org/officeDocument/2006/relationships/hyperlink" Target="https://en.wikipedia.org/wiki/Goldman_Sachs" TargetMode="External"/><Relationship Id="rId69" Type="http://schemas.openxmlformats.org/officeDocument/2006/relationships/hyperlink" Target="https://en.wikipedia.org/wiki/Foreign-exchange_reserves" TargetMode="External"/><Relationship Id="rId113" Type="http://schemas.openxmlformats.org/officeDocument/2006/relationships/hyperlink" Target="https://en.wikipedia.org/wiki/Africa" TargetMode="External"/><Relationship Id="rId134" Type="http://schemas.openxmlformats.org/officeDocument/2006/relationships/hyperlink" Target="https://en.wikipedia.org/wiki/United_Kingdom" TargetMode="External"/><Relationship Id="rId80" Type="http://schemas.openxmlformats.org/officeDocument/2006/relationships/hyperlink" Target="https://en.wikipedia.org/wiki/Goldman_Sachs" TargetMode="External"/><Relationship Id="rId155" Type="http://schemas.openxmlformats.org/officeDocument/2006/relationships/hyperlink" Target="https://en.wikipedia.org/wiki/Norway" TargetMode="External"/><Relationship Id="rId176" Type="http://schemas.openxmlformats.org/officeDocument/2006/relationships/hyperlink" Target="https://en.wikipedia.org/wiki/USD" TargetMode="External"/><Relationship Id="rId17" Type="http://schemas.openxmlformats.org/officeDocument/2006/relationships/hyperlink" Target="https://pl.wikipedia.org/wiki/Javier_Milei" TargetMode="External"/><Relationship Id="rId38" Type="http://schemas.openxmlformats.org/officeDocument/2006/relationships/hyperlink" Target="https://en.wikipedia.org/wiki/Jim_O%27Neill,_Baron_O%27Neill_of_Gatley" TargetMode="External"/><Relationship Id="rId59" Type="http://schemas.openxmlformats.org/officeDocument/2006/relationships/hyperlink" Target="https://en.wikipedia.org/wiki/Manufactured_good" TargetMode="External"/><Relationship Id="rId103" Type="http://schemas.openxmlformats.org/officeDocument/2006/relationships/hyperlink" Target="https://en.wikipedia.org/wiki/Gulf_Cooperation_Council" TargetMode="External"/><Relationship Id="rId124" Type="http://schemas.openxmlformats.org/officeDocument/2006/relationships/hyperlink" Target="https://en.wikipedia.org/wiki/Turkey" TargetMode="External"/><Relationship Id="rId70" Type="http://schemas.openxmlformats.org/officeDocument/2006/relationships/hyperlink" Target="https://en.wikipedia.org/wiki/Jim_O%27Neill,_Baron_O%27Neill_of_Gatley" TargetMode="External"/><Relationship Id="rId91" Type="http://schemas.openxmlformats.org/officeDocument/2006/relationships/hyperlink" Target="https://en.wikipedia.org/wiki/Standard_%26_Poor%27s" TargetMode="External"/><Relationship Id="rId145" Type="http://schemas.openxmlformats.org/officeDocument/2006/relationships/hyperlink" Target="https://en.wikipedia.org/wiki/Spain" TargetMode="External"/><Relationship Id="rId166" Type="http://schemas.openxmlformats.org/officeDocument/2006/relationships/hyperlink" Target="https://en.wikipedia.org/wiki/United_States" TargetMode="External"/><Relationship Id="rId1" Type="http://schemas.openxmlformats.org/officeDocument/2006/relationships/numbering" Target="numbering.xml"/><Relationship Id="rId28" Type="http://schemas.openxmlformats.org/officeDocument/2006/relationships/hyperlink" Target="https://en.wikipedia.org/wiki/South_Africa" TargetMode="External"/><Relationship Id="rId49" Type="http://schemas.openxmlformats.org/officeDocument/2006/relationships/hyperlink" Target="https://en.wikipedia.org/wiki/Emerging_market" TargetMode="External"/><Relationship Id="rId114" Type="http://schemas.openxmlformats.org/officeDocument/2006/relationships/hyperlink" Target="https://en.wikipedia.org/wiki/Academ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20</Pages>
  <Words>6083</Words>
  <Characters>36501</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3</cp:revision>
  <dcterms:created xsi:type="dcterms:W3CDTF">2025-04-08T08:14:00Z</dcterms:created>
  <dcterms:modified xsi:type="dcterms:W3CDTF">2025-04-08T08:57:00Z</dcterms:modified>
</cp:coreProperties>
</file>