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D202" w14:textId="77777777" w:rsidR="008411CE" w:rsidRPr="004737E3" w:rsidRDefault="008411CE" w:rsidP="004737E3">
      <w:pPr>
        <w:spacing w:after="0" w:line="360" w:lineRule="auto"/>
        <w:jc w:val="both"/>
        <w:rPr>
          <w:rFonts w:ascii="Times New Roman" w:eastAsia="Times New Roman" w:hAnsi="Times New Roman" w:cs="Times New Roman"/>
          <w:b/>
          <w:bCs/>
          <w:sz w:val="24"/>
          <w:szCs w:val="24"/>
          <w:lang w:eastAsia="pl-PL"/>
        </w:rPr>
      </w:pPr>
    </w:p>
    <w:p w14:paraId="7BD35631" w14:textId="7CBD2419" w:rsidR="008411CE" w:rsidRDefault="004737E3" w:rsidP="008411CE">
      <w:pPr>
        <w:pStyle w:val="Akapitzlist"/>
        <w:numPr>
          <w:ilvl w:val="0"/>
          <w:numId w:val="1"/>
        </w:numPr>
        <w:spacing w:after="0" w:line="36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Nadzorca i zarządca</w:t>
      </w:r>
    </w:p>
    <w:p w14:paraId="7F1ED6E1" w14:textId="5D26630F" w:rsidR="004737E3" w:rsidRDefault="004737E3" w:rsidP="004737E3">
      <w:pPr>
        <w:pStyle w:val="Akapitzlist"/>
        <w:spacing w:after="0" w:line="360" w:lineRule="auto"/>
        <w:jc w:val="both"/>
        <w:rPr>
          <w:rFonts w:ascii="Times New Roman" w:eastAsia="Times New Roman" w:hAnsi="Times New Roman" w:cs="Times New Roman"/>
          <w:b/>
          <w:bCs/>
          <w:sz w:val="24"/>
          <w:szCs w:val="24"/>
          <w:lang w:eastAsia="pl-PL"/>
        </w:rPr>
      </w:pPr>
    </w:p>
    <w:p w14:paraId="60DB526E" w14:textId="12EC49A5" w:rsidR="00CF0BAF" w:rsidRDefault="00943D04" w:rsidP="001D1BE8">
      <w:pPr>
        <w:pStyle w:val="Akapitzlist"/>
        <w:spacing w:after="0" w:line="360" w:lineRule="auto"/>
        <w:ind w:left="0" w:firstLine="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1D1BE8">
        <w:rPr>
          <w:rFonts w:ascii="Times New Roman" w:eastAsia="Times New Roman" w:hAnsi="Times New Roman" w:cs="Times New Roman"/>
          <w:sz w:val="24"/>
          <w:szCs w:val="24"/>
          <w:lang w:eastAsia="pl-PL"/>
        </w:rPr>
        <w:t xml:space="preserve">ostępowanie </w:t>
      </w:r>
      <w:r w:rsidR="001D1BE8" w:rsidRPr="004737E3">
        <w:rPr>
          <w:rFonts w:ascii="Times New Roman" w:eastAsia="Times New Roman" w:hAnsi="Times New Roman" w:cs="Times New Roman"/>
          <w:sz w:val="24"/>
          <w:szCs w:val="24"/>
          <w:lang w:eastAsia="pl-PL"/>
        </w:rPr>
        <w:t>restrukturyzacyjne</w:t>
      </w:r>
      <w:r w:rsidR="001D1BE8">
        <w:rPr>
          <w:rFonts w:ascii="Times New Roman" w:eastAsia="Times New Roman" w:hAnsi="Times New Roman" w:cs="Times New Roman"/>
          <w:sz w:val="24"/>
          <w:szCs w:val="24"/>
          <w:lang w:eastAsia="pl-PL"/>
        </w:rPr>
        <w:t xml:space="preserve"> w</w:t>
      </w:r>
      <w:r w:rsidR="004737E3">
        <w:rPr>
          <w:rFonts w:ascii="Times New Roman" w:eastAsia="Times New Roman" w:hAnsi="Times New Roman" w:cs="Times New Roman"/>
          <w:sz w:val="24"/>
          <w:szCs w:val="24"/>
          <w:lang w:eastAsia="pl-PL"/>
        </w:rPr>
        <w:t xml:space="preserve"> myśl art. 23 PR</w:t>
      </w:r>
      <w:r w:rsidR="001D1BE8">
        <w:rPr>
          <w:rFonts w:ascii="Times New Roman" w:eastAsia="Times New Roman" w:hAnsi="Times New Roman" w:cs="Times New Roman"/>
          <w:sz w:val="24"/>
          <w:szCs w:val="24"/>
          <w:lang w:eastAsia="pl-PL"/>
        </w:rPr>
        <w:t xml:space="preserve">, </w:t>
      </w:r>
      <w:r w:rsidR="004737E3" w:rsidRPr="004737E3">
        <w:rPr>
          <w:rFonts w:ascii="Times New Roman" w:eastAsia="Times New Roman" w:hAnsi="Times New Roman" w:cs="Times New Roman"/>
          <w:sz w:val="24"/>
          <w:szCs w:val="24"/>
          <w:lang w:eastAsia="pl-PL"/>
        </w:rPr>
        <w:t>prowadzi się z udziałem nadzorcy</w:t>
      </w:r>
      <w:r w:rsidR="00CF0BAF">
        <w:rPr>
          <w:rFonts w:ascii="Times New Roman" w:eastAsia="Times New Roman" w:hAnsi="Times New Roman" w:cs="Times New Roman"/>
          <w:sz w:val="24"/>
          <w:szCs w:val="24"/>
          <w:lang w:eastAsia="pl-PL"/>
        </w:rPr>
        <w:t>.</w:t>
      </w:r>
      <w:r w:rsidR="004737E3" w:rsidRPr="004737E3">
        <w:rPr>
          <w:rFonts w:ascii="Times New Roman" w:eastAsia="Times New Roman" w:hAnsi="Times New Roman" w:cs="Times New Roman"/>
          <w:sz w:val="24"/>
          <w:szCs w:val="24"/>
          <w:lang w:eastAsia="pl-PL"/>
        </w:rPr>
        <w:t xml:space="preserve"> albo zarządcy</w:t>
      </w:r>
      <w:r w:rsidR="00CF0BAF">
        <w:rPr>
          <w:rFonts w:ascii="Times New Roman" w:eastAsia="Times New Roman" w:hAnsi="Times New Roman" w:cs="Times New Roman"/>
          <w:sz w:val="24"/>
          <w:szCs w:val="24"/>
          <w:lang w:eastAsia="pl-PL"/>
        </w:rPr>
        <w:t xml:space="preserve">. Zarządca powoływany jest </w:t>
      </w:r>
      <w:r w:rsidR="009F1560">
        <w:rPr>
          <w:rFonts w:ascii="Times New Roman" w:eastAsia="Times New Roman" w:hAnsi="Times New Roman" w:cs="Times New Roman"/>
          <w:sz w:val="24"/>
          <w:szCs w:val="24"/>
          <w:lang w:eastAsia="pl-PL"/>
        </w:rPr>
        <w:t xml:space="preserve">co do zasady </w:t>
      </w:r>
      <w:r w:rsidR="00CF0BAF">
        <w:rPr>
          <w:rFonts w:ascii="Times New Roman" w:eastAsia="Times New Roman" w:hAnsi="Times New Roman" w:cs="Times New Roman"/>
          <w:sz w:val="24"/>
          <w:szCs w:val="24"/>
          <w:lang w:eastAsia="pl-PL"/>
        </w:rPr>
        <w:t xml:space="preserve">w postępowaniu sanacyjnym, natomiast w pozostałych postępowaniach restrukturyzacyjnych bierze udział nadzorca, którym jest, zależnie od rodzaju postępowania </w:t>
      </w:r>
      <w:r w:rsidR="00CF0BAF" w:rsidRPr="00CF0BAF">
        <w:rPr>
          <w:rFonts w:ascii="Times New Roman" w:eastAsia="Times New Roman" w:hAnsi="Times New Roman" w:cs="Times New Roman"/>
          <w:sz w:val="24"/>
          <w:szCs w:val="24"/>
          <w:lang w:eastAsia="pl-PL"/>
        </w:rPr>
        <w:t>nadzorca układu</w:t>
      </w:r>
      <w:r w:rsidR="00CF0BAF">
        <w:rPr>
          <w:rFonts w:ascii="Times New Roman" w:eastAsia="Times New Roman" w:hAnsi="Times New Roman" w:cs="Times New Roman"/>
          <w:sz w:val="24"/>
          <w:szCs w:val="24"/>
          <w:lang w:eastAsia="pl-PL"/>
        </w:rPr>
        <w:t xml:space="preserve"> (w postępowaniu o zatwierdzenie układu)</w:t>
      </w:r>
      <w:r w:rsidR="00CF0BAF" w:rsidRPr="00CF0BAF">
        <w:rPr>
          <w:rFonts w:ascii="Times New Roman" w:eastAsia="Times New Roman" w:hAnsi="Times New Roman" w:cs="Times New Roman"/>
          <w:sz w:val="24"/>
          <w:szCs w:val="24"/>
          <w:lang w:eastAsia="pl-PL"/>
        </w:rPr>
        <w:t xml:space="preserve"> albo nadzorca sądowy</w:t>
      </w:r>
      <w:r w:rsidR="00CF0BAF">
        <w:rPr>
          <w:rFonts w:ascii="Times New Roman" w:eastAsia="Times New Roman" w:hAnsi="Times New Roman" w:cs="Times New Roman"/>
          <w:sz w:val="24"/>
          <w:szCs w:val="24"/>
          <w:lang w:eastAsia="pl-PL"/>
        </w:rPr>
        <w:t xml:space="preserve"> – w uproszczonym postępowaniu układowym i postępowaniu układowym.</w:t>
      </w:r>
      <w:r w:rsidR="009F1560">
        <w:rPr>
          <w:rFonts w:ascii="Times New Roman" w:eastAsia="Times New Roman" w:hAnsi="Times New Roman" w:cs="Times New Roman"/>
          <w:sz w:val="24"/>
          <w:szCs w:val="24"/>
          <w:lang w:eastAsia="pl-PL"/>
        </w:rPr>
        <w:t xml:space="preserve"> Możliwe jest powołanie zarządcy w przyspieszonym postępowaniu układowym i postepowaniu układowym jeżeli dłużnik został pozbawiony zarządu własnego.</w:t>
      </w:r>
    </w:p>
    <w:p w14:paraId="76E3B97C" w14:textId="4ED21AF2" w:rsidR="00CF0BAF" w:rsidRDefault="00CF0BAF" w:rsidP="00CF0BAF">
      <w:pPr>
        <w:pStyle w:val="Akapitzlist"/>
        <w:spacing w:after="0" w:line="360" w:lineRule="auto"/>
        <w:ind w:left="0" w:firstLine="360"/>
        <w:jc w:val="both"/>
        <w:rPr>
          <w:rFonts w:ascii="Times New Roman" w:eastAsia="Times New Roman" w:hAnsi="Times New Roman" w:cs="Times New Roman"/>
          <w:sz w:val="24"/>
          <w:szCs w:val="24"/>
          <w:lang w:eastAsia="pl-PL"/>
        </w:rPr>
      </w:pPr>
    </w:p>
    <w:tbl>
      <w:tblPr>
        <w:tblStyle w:val="Tabela-Siatka"/>
        <w:tblW w:w="9067" w:type="dxa"/>
        <w:tblLook w:val="04A0" w:firstRow="1" w:lastRow="0" w:firstColumn="1" w:lastColumn="0" w:noHBand="0" w:noVBand="1"/>
      </w:tblPr>
      <w:tblGrid>
        <w:gridCol w:w="3020"/>
        <w:gridCol w:w="1795"/>
        <w:gridCol w:w="4252"/>
      </w:tblGrid>
      <w:tr w:rsidR="00CF0BAF" w14:paraId="11C8737B" w14:textId="77777777" w:rsidTr="00BE4942">
        <w:tc>
          <w:tcPr>
            <w:tcW w:w="3020" w:type="dxa"/>
          </w:tcPr>
          <w:p w14:paraId="404F1088" w14:textId="0CD7C6F9" w:rsidR="00CF0BAF" w:rsidRDefault="00CF0BAF" w:rsidP="00CF0BAF">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Nadzorca układu</w:t>
            </w:r>
          </w:p>
        </w:tc>
        <w:tc>
          <w:tcPr>
            <w:tcW w:w="1795" w:type="dxa"/>
          </w:tcPr>
          <w:p w14:paraId="343A07BA" w14:textId="5D530143" w:rsidR="00CF0BAF" w:rsidRDefault="00CF0BAF" w:rsidP="00CF0BAF">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Postępowanie o zatwierdzenie układu</w:t>
            </w:r>
          </w:p>
        </w:tc>
        <w:tc>
          <w:tcPr>
            <w:tcW w:w="4252" w:type="dxa"/>
          </w:tcPr>
          <w:p w14:paraId="314727A3" w14:textId="7A4B2F1B" w:rsidR="00CF0BAF" w:rsidRDefault="00873DE4" w:rsidP="00CF0BAF">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Wybrany przez dłużnika</w:t>
            </w:r>
            <w:r w:rsidR="00BE4942">
              <w:rPr>
                <w:rFonts w:ascii="Times New Roman" w:eastAsia="Times New Roman" w:hAnsi="Times New Roman" w:cs="Times New Roman"/>
                <w:sz w:val="24"/>
                <w:szCs w:val="24"/>
                <w:lang w:eastAsia="pl-PL"/>
              </w:rPr>
              <w:t xml:space="preserve"> (spośród osób spełniających wymogi określone w art. 24 PR)</w:t>
            </w:r>
            <w:r>
              <w:rPr>
                <w:rFonts w:ascii="Times New Roman" w:eastAsia="Times New Roman" w:hAnsi="Times New Roman" w:cs="Times New Roman"/>
                <w:sz w:val="24"/>
                <w:szCs w:val="24"/>
                <w:lang w:eastAsia="pl-PL"/>
              </w:rPr>
              <w:t xml:space="preserve"> który zawiera z nim umowę</w:t>
            </w:r>
            <w:r w:rsidR="00BE4942">
              <w:rPr>
                <w:rFonts w:ascii="Times New Roman" w:eastAsia="Times New Roman" w:hAnsi="Times New Roman" w:cs="Times New Roman"/>
                <w:sz w:val="24"/>
                <w:szCs w:val="24"/>
                <w:lang w:eastAsia="pl-PL"/>
              </w:rPr>
              <w:t>. Zawarcie umowy z nadzorcą jest w postepowaniu o zatwierdzenie układu obligatoryjne.</w:t>
            </w:r>
          </w:p>
        </w:tc>
      </w:tr>
      <w:tr w:rsidR="00CF0BAF" w14:paraId="618D0A23" w14:textId="77777777" w:rsidTr="00BE4942">
        <w:tc>
          <w:tcPr>
            <w:tcW w:w="3020" w:type="dxa"/>
          </w:tcPr>
          <w:p w14:paraId="5202F24D" w14:textId="408BFAE1" w:rsidR="00CF0BAF" w:rsidRDefault="00CF0BAF" w:rsidP="00CF0BAF">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Nadzorca sądowy </w:t>
            </w:r>
          </w:p>
        </w:tc>
        <w:tc>
          <w:tcPr>
            <w:tcW w:w="1795" w:type="dxa"/>
          </w:tcPr>
          <w:p w14:paraId="4A26D63B" w14:textId="77777777" w:rsidR="00CF0BAF" w:rsidRDefault="00CF0BAF" w:rsidP="00CF0BAF">
            <w:pPr>
              <w:pStyle w:val="Akapitzlist"/>
              <w:numPr>
                <w:ilvl w:val="0"/>
                <w:numId w:val="2"/>
              </w:numPr>
              <w:spacing w:line="360" w:lineRule="auto"/>
              <w:ind w:left="132" w:hanging="7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Uproszczone postępowanie układowe. </w:t>
            </w:r>
          </w:p>
          <w:p w14:paraId="56164BCA" w14:textId="30F328BF" w:rsidR="00CF0BAF" w:rsidRDefault="00CF0BAF" w:rsidP="00CF0BAF">
            <w:pPr>
              <w:pStyle w:val="Akapitzlist"/>
              <w:numPr>
                <w:ilvl w:val="0"/>
                <w:numId w:val="2"/>
              </w:numPr>
              <w:spacing w:line="360" w:lineRule="auto"/>
              <w:ind w:left="132" w:hanging="7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Postępowanie układowe</w:t>
            </w:r>
          </w:p>
        </w:tc>
        <w:tc>
          <w:tcPr>
            <w:tcW w:w="4252" w:type="dxa"/>
          </w:tcPr>
          <w:p w14:paraId="5F9D864B" w14:textId="77777777" w:rsidR="00CF0BAF" w:rsidRDefault="00873DE4" w:rsidP="00CF0BAF">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Wyznaczony</w:t>
            </w:r>
            <w:r w:rsidR="00BE4942">
              <w:rPr>
                <w:rFonts w:ascii="Times New Roman" w:eastAsia="Times New Roman" w:hAnsi="Times New Roman" w:cs="Times New Roman"/>
                <w:sz w:val="24"/>
                <w:szCs w:val="24"/>
                <w:lang w:eastAsia="pl-PL"/>
              </w:rPr>
              <w:t xml:space="preserve"> co do zasady</w:t>
            </w:r>
            <w:r>
              <w:rPr>
                <w:rFonts w:ascii="Times New Roman" w:eastAsia="Times New Roman" w:hAnsi="Times New Roman" w:cs="Times New Roman"/>
                <w:sz w:val="24"/>
                <w:szCs w:val="24"/>
                <w:lang w:eastAsia="pl-PL"/>
              </w:rPr>
              <w:t xml:space="preserve"> przez sąd restrukturyzacyjny</w:t>
            </w:r>
            <w:r w:rsidR="00BE4942">
              <w:rPr>
                <w:rFonts w:ascii="Times New Roman" w:eastAsia="Times New Roman" w:hAnsi="Times New Roman" w:cs="Times New Roman"/>
                <w:sz w:val="24"/>
                <w:szCs w:val="24"/>
                <w:lang w:eastAsia="pl-PL"/>
              </w:rPr>
              <w:t>.</w:t>
            </w:r>
          </w:p>
          <w:p w14:paraId="3377E294" w14:textId="23C45DAB" w:rsidR="00BE4942" w:rsidRDefault="00BE4942" w:rsidP="00BE4942">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Może być także wskazany przez dłużnika za</w:t>
            </w:r>
            <w:r w:rsidRPr="009F1560">
              <w:rPr>
                <w:rFonts w:ascii="Times New Roman" w:eastAsia="Times New Roman" w:hAnsi="Times New Roman" w:cs="Times New Roman"/>
                <w:sz w:val="24"/>
                <w:szCs w:val="24"/>
                <w:lang w:eastAsia="pl-PL"/>
              </w:rPr>
              <w:t xml:space="preserve"> zgod</w:t>
            </w:r>
            <w:r>
              <w:rPr>
                <w:rFonts w:ascii="Times New Roman" w:eastAsia="Times New Roman" w:hAnsi="Times New Roman" w:cs="Times New Roman"/>
                <w:sz w:val="24"/>
                <w:szCs w:val="24"/>
                <w:lang w:eastAsia="pl-PL"/>
              </w:rPr>
              <w:t>ą</w:t>
            </w:r>
            <w:r w:rsidRPr="009F1560">
              <w:rPr>
                <w:rFonts w:ascii="Times New Roman" w:eastAsia="Times New Roman" w:hAnsi="Times New Roman" w:cs="Times New Roman"/>
                <w:sz w:val="24"/>
                <w:szCs w:val="24"/>
                <w:lang w:eastAsia="pl-PL"/>
              </w:rPr>
              <w:t xml:space="preserve"> wierzyciela lub wierzycieli mających łącznie więcej niż 30% sumy wierzytelności</w:t>
            </w:r>
            <w:r>
              <w:rPr>
                <w:rFonts w:ascii="Times New Roman" w:eastAsia="Times New Roman" w:hAnsi="Times New Roman" w:cs="Times New Roman"/>
                <w:sz w:val="24"/>
                <w:szCs w:val="24"/>
                <w:lang w:eastAsia="pl-PL"/>
              </w:rPr>
              <w:t>, ale sąd może odmówić jego powołania, gdy kandydat nie daje rękojmi należytego sprawowania obowiązków.</w:t>
            </w:r>
          </w:p>
          <w:p w14:paraId="306659BA" w14:textId="69171313" w:rsidR="00BE4942" w:rsidRDefault="00BE4942" w:rsidP="00BE4942">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Może nastąpić zmiana przez sąd osoby nadzorcy na skutek uchwały rady wierzycieli</w:t>
            </w:r>
          </w:p>
        </w:tc>
      </w:tr>
      <w:tr w:rsidR="00CF0BAF" w14:paraId="65195D63" w14:textId="77777777" w:rsidTr="00BE4942">
        <w:tc>
          <w:tcPr>
            <w:tcW w:w="3020" w:type="dxa"/>
          </w:tcPr>
          <w:p w14:paraId="7ACACB2F" w14:textId="17CAB3B8" w:rsidR="00CF0BAF" w:rsidRDefault="00CF0BAF" w:rsidP="00CF0BAF">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Zarządca</w:t>
            </w:r>
          </w:p>
        </w:tc>
        <w:tc>
          <w:tcPr>
            <w:tcW w:w="1795" w:type="dxa"/>
          </w:tcPr>
          <w:p w14:paraId="50E1CE8C" w14:textId="58F1E1A8" w:rsidR="00CF0BAF" w:rsidRDefault="00CF0BAF" w:rsidP="00CF0BAF">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Postępowanie sanacyjne</w:t>
            </w:r>
          </w:p>
        </w:tc>
        <w:tc>
          <w:tcPr>
            <w:tcW w:w="4252" w:type="dxa"/>
          </w:tcPr>
          <w:p w14:paraId="6A5CE24B" w14:textId="6888D582" w:rsidR="00CF0BAF" w:rsidRDefault="009F1560" w:rsidP="00CF0BAF">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Wyznaczony co do zasady </w:t>
            </w:r>
            <w:r w:rsidR="00873DE4">
              <w:rPr>
                <w:rFonts w:ascii="Times New Roman" w:eastAsia="Times New Roman" w:hAnsi="Times New Roman" w:cs="Times New Roman"/>
                <w:sz w:val="24"/>
                <w:szCs w:val="24"/>
                <w:lang w:eastAsia="pl-PL"/>
              </w:rPr>
              <w:t>przez sąd restrukturyzacyjny</w:t>
            </w:r>
            <w:r>
              <w:rPr>
                <w:rFonts w:ascii="Times New Roman" w:eastAsia="Times New Roman" w:hAnsi="Times New Roman" w:cs="Times New Roman"/>
                <w:sz w:val="24"/>
                <w:szCs w:val="24"/>
                <w:lang w:eastAsia="pl-PL"/>
              </w:rPr>
              <w:t>.</w:t>
            </w:r>
          </w:p>
          <w:p w14:paraId="42AEF468" w14:textId="77777777" w:rsidR="009F1560" w:rsidRDefault="009F1560" w:rsidP="00CF0BAF">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Może być uwzględniony wniosek dłużnika (co do osoby zarządcy), </w:t>
            </w:r>
            <w:r w:rsidRPr="009F1560">
              <w:rPr>
                <w:rFonts w:ascii="Times New Roman" w:eastAsia="Times New Roman" w:hAnsi="Times New Roman" w:cs="Times New Roman"/>
                <w:sz w:val="24"/>
                <w:szCs w:val="24"/>
                <w:lang w:eastAsia="pl-PL"/>
              </w:rPr>
              <w:t xml:space="preserve">do którego dołączono pisemną zgodę </w:t>
            </w:r>
            <w:r w:rsidRPr="009F1560">
              <w:rPr>
                <w:rFonts w:ascii="Times New Roman" w:eastAsia="Times New Roman" w:hAnsi="Times New Roman" w:cs="Times New Roman"/>
                <w:sz w:val="24"/>
                <w:szCs w:val="24"/>
                <w:lang w:eastAsia="pl-PL"/>
              </w:rPr>
              <w:lastRenderedPageBreak/>
              <w:t>wierzyciela lub wierzycieli mających łącznie więcej niż 30% sumy wierzytelności</w:t>
            </w:r>
            <w:r>
              <w:rPr>
                <w:rFonts w:ascii="Times New Roman" w:eastAsia="Times New Roman" w:hAnsi="Times New Roman" w:cs="Times New Roman"/>
                <w:sz w:val="24"/>
                <w:szCs w:val="24"/>
                <w:lang w:eastAsia="pl-PL"/>
              </w:rPr>
              <w:t>.</w:t>
            </w:r>
          </w:p>
          <w:p w14:paraId="01BDB019" w14:textId="1EEE37CD" w:rsidR="00BE4942" w:rsidRDefault="00BE4942" w:rsidP="00CF0BAF">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Może nastąpić zmiana przez sąd osoby zarządcy na skutek uchwały rady wierzycieli</w:t>
            </w:r>
          </w:p>
        </w:tc>
      </w:tr>
    </w:tbl>
    <w:p w14:paraId="6D608FE7" w14:textId="7B02774E" w:rsidR="00CF0BAF" w:rsidRDefault="00BE4942" w:rsidP="00CF0BAF">
      <w:pPr>
        <w:pStyle w:val="Akapitzlist"/>
        <w:spacing w:after="0" w:line="360" w:lineRule="auto"/>
        <w:ind w:left="0" w:firstLine="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w:t>
      </w:r>
    </w:p>
    <w:p w14:paraId="4F344686" w14:textId="088D8A52" w:rsidR="00C52295" w:rsidRPr="00C52295" w:rsidRDefault="00C52295" w:rsidP="00C52295">
      <w:pPr>
        <w:pStyle w:val="Akapitzlist"/>
        <w:spacing w:after="0" w:line="360" w:lineRule="auto"/>
        <w:ind w:left="0" w:firstLine="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Ustanowienie nadzorcy układu, nadzorcy sądowego lub zarządcy ma różny wpływ na możliwość zarządzania majątkiem przez dłużnika</w:t>
      </w:r>
      <w:r w:rsidR="001D1BE8">
        <w:rPr>
          <w:rFonts w:ascii="Times New Roman" w:eastAsia="Times New Roman" w:hAnsi="Times New Roman" w:cs="Times New Roman"/>
          <w:sz w:val="24"/>
          <w:szCs w:val="24"/>
          <w:lang w:eastAsia="pl-PL"/>
        </w:rPr>
        <w:t xml:space="preserve">. Co do zasady </w:t>
      </w:r>
      <w:r w:rsidR="00943D04">
        <w:rPr>
          <w:rFonts w:ascii="Times New Roman" w:eastAsia="Times New Roman" w:hAnsi="Times New Roman" w:cs="Times New Roman"/>
          <w:sz w:val="24"/>
          <w:szCs w:val="24"/>
          <w:lang w:eastAsia="pl-PL"/>
        </w:rPr>
        <w:t xml:space="preserve">w </w:t>
      </w:r>
      <w:r w:rsidR="001D1BE8" w:rsidRPr="001D1BE8">
        <w:rPr>
          <w:rFonts w:ascii="Times New Roman" w:eastAsia="Times New Roman" w:hAnsi="Times New Roman" w:cs="Times New Roman"/>
          <w:sz w:val="24"/>
          <w:szCs w:val="24"/>
          <w:lang w:eastAsia="pl-PL"/>
        </w:rPr>
        <w:t>postępowaniu restrukturyzacyjnym dłużnik sprawuje zarząd własny swoim majątkiem, chyba że został ustanowiony zarządca</w:t>
      </w:r>
      <w:r w:rsidR="001D1BE8">
        <w:rPr>
          <w:rFonts w:ascii="Times New Roman" w:eastAsia="Times New Roman" w:hAnsi="Times New Roman" w:cs="Times New Roman"/>
          <w:sz w:val="24"/>
          <w:szCs w:val="24"/>
          <w:lang w:eastAsia="pl-PL"/>
        </w:rPr>
        <w:t>. W uproszczonym postepowaniu układowym i postępowaniu układowym z</w:t>
      </w:r>
      <w:r w:rsidR="001D1BE8" w:rsidRPr="001D1BE8">
        <w:rPr>
          <w:rFonts w:ascii="Times New Roman" w:eastAsia="Times New Roman" w:hAnsi="Times New Roman" w:cs="Times New Roman"/>
          <w:sz w:val="24"/>
          <w:szCs w:val="24"/>
          <w:lang w:eastAsia="pl-PL"/>
        </w:rPr>
        <w:t>arząd własny</w:t>
      </w:r>
      <w:r w:rsidR="001D1BE8">
        <w:rPr>
          <w:rFonts w:ascii="Times New Roman" w:eastAsia="Times New Roman" w:hAnsi="Times New Roman" w:cs="Times New Roman"/>
          <w:sz w:val="24"/>
          <w:szCs w:val="24"/>
          <w:lang w:eastAsia="pl-PL"/>
        </w:rPr>
        <w:t xml:space="preserve"> </w:t>
      </w:r>
      <w:r w:rsidR="001D1BE8" w:rsidRPr="001D1BE8">
        <w:rPr>
          <w:rFonts w:ascii="Times New Roman" w:eastAsia="Times New Roman" w:hAnsi="Times New Roman" w:cs="Times New Roman"/>
          <w:sz w:val="24"/>
          <w:szCs w:val="24"/>
          <w:lang w:eastAsia="pl-PL"/>
        </w:rPr>
        <w:t>dłużnik sprawuje pod nadzorem nadzorcy sądowego.</w:t>
      </w:r>
      <w:r w:rsidR="001D1BE8">
        <w:rPr>
          <w:rFonts w:ascii="Times New Roman" w:eastAsia="Times New Roman" w:hAnsi="Times New Roman" w:cs="Times New Roman"/>
          <w:sz w:val="24"/>
          <w:szCs w:val="24"/>
          <w:lang w:eastAsia="pl-PL"/>
        </w:rPr>
        <w:t xml:space="preserve"> </w:t>
      </w:r>
    </w:p>
    <w:p w14:paraId="4E78C5B5" w14:textId="5C06B3D2" w:rsidR="008A20BB" w:rsidRPr="001D1BE8" w:rsidRDefault="008A20BB" w:rsidP="001D1BE8">
      <w:pPr>
        <w:spacing w:after="0" w:line="360" w:lineRule="auto"/>
        <w:jc w:val="both"/>
        <w:rPr>
          <w:rFonts w:ascii="Times New Roman" w:eastAsia="Times New Roman" w:hAnsi="Times New Roman" w:cs="Times New Roman"/>
          <w:sz w:val="24"/>
          <w:szCs w:val="24"/>
          <w:lang w:eastAsia="pl-PL"/>
        </w:rPr>
      </w:pPr>
    </w:p>
    <w:tbl>
      <w:tblPr>
        <w:tblStyle w:val="Tabela-Siatka"/>
        <w:tblW w:w="9350" w:type="dxa"/>
        <w:tblLook w:val="04A0" w:firstRow="1" w:lastRow="0" w:firstColumn="1" w:lastColumn="0" w:noHBand="0" w:noVBand="1"/>
      </w:tblPr>
      <w:tblGrid>
        <w:gridCol w:w="1136"/>
        <w:gridCol w:w="3395"/>
        <w:gridCol w:w="4819"/>
      </w:tblGrid>
      <w:tr w:rsidR="00C52295" w14:paraId="279F97F7" w14:textId="77777777" w:rsidTr="00F00929">
        <w:tc>
          <w:tcPr>
            <w:tcW w:w="1136" w:type="dxa"/>
          </w:tcPr>
          <w:p w14:paraId="629A67A8" w14:textId="702864C7"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Nadzorca układu</w:t>
            </w:r>
          </w:p>
        </w:tc>
        <w:tc>
          <w:tcPr>
            <w:tcW w:w="3395" w:type="dxa"/>
          </w:tcPr>
          <w:p w14:paraId="182F831B" w14:textId="77777777"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sidRPr="00C52295">
              <w:rPr>
                <w:rFonts w:ascii="Times New Roman" w:eastAsia="Times New Roman" w:hAnsi="Times New Roman" w:cs="Times New Roman"/>
                <w:sz w:val="24"/>
                <w:szCs w:val="24"/>
                <w:lang w:eastAsia="pl-PL"/>
              </w:rPr>
              <w:t>Zawarcie umowy z nadzorcą układu nie ogranicza dłużnika w zarządzie jego majątkiem</w:t>
            </w:r>
            <w:r>
              <w:rPr>
                <w:rFonts w:ascii="Times New Roman" w:eastAsia="Times New Roman" w:hAnsi="Times New Roman" w:cs="Times New Roman"/>
                <w:sz w:val="24"/>
                <w:szCs w:val="24"/>
                <w:lang w:eastAsia="pl-PL"/>
              </w:rPr>
              <w:t>.</w:t>
            </w:r>
          </w:p>
          <w:p w14:paraId="588771DE" w14:textId="73E9092E"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sidRPr="00C52295">
              <w:rPr>
                <w:rFonts w:ascii="Times New Roman" w:eastAsia="Times New Roman" w:hAnsi="Times New Roman" w:cs="Times New Roman"/>
                <w:sz w:val="24"/>
                <w:szCs w:val="24"/>
                <w:lang w:eastAsia="pl-PL"/>
              </w:rPr>
              <w:t>Dłużnik udziela nadzorcy układu pełnych i zgodnych z prawdą informacji w celu wykorzystania w postępowaniu restrukturyzacyjnym</w:t>
            </w:r>
            <w:r>
              <w:rPr>
                <w:rFonts w:ascii="Times New Roman" w:eastAsia="Times New Roman" w:hAnsi="Times New Roman" w:cs="Times New Roman"/>
                <w:sz w:val="24"/>
                <w:szCs w:val="24"/>
                <w:lang w:eastAsia="pl-PL"/>
              </w:rPr>
              <w:t xml:space="preserve"> (pod rygorem odpowiedzialności karnej</w:t>
            </w:r>
            <w:r w:rsidRPr="00C52295">
              <w:rPr>
                <w:rFonts w:ascii="Times New Roman" w:eastAsia="Times New Roman" w:hAnsi="Times New Roman" w:cs="Times New Roman"/>
                <w:sz w:val="24"/>
                <w:szCs w:val="24"/>
                <w:lang w:eastAsia="pl-PL"/>
              </w:rPr>
              <w:t xml:space="preserve"> oraz udostępnia dokumenty dotyczące swojego majątku i zobowiązań</w:t>
            </w:r>
          </w:p>
        </w:tc>
        <w:tc>
          <w:tcPr>
            <w:tcW w:w="4819" w:type="dxa"/>
          </w:tcPr>
          <w:p w14:paraId="14AEF8EA" w14:textId="77777777"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sidRPr="00C52295">
              <w:rPr>
                <w:rFonts w:ascii="Times New Roman" w:eastAsia="Times New Roman" w:hAnsi="Times New Roman" w:cs="Times New Roman"/>
                <w:sz w:val="24"/>
                <w:szCs w:val="24"/>
                <w:lang w:eastAsia="pl-PL"/>
              </w:rPr>
              <w:t>W ramach sprawowanego nadzoru nadzorca układu może kontrolować czynności dłużnika dotyczące jego majątku, a także przedsiębiorstwo dłużnika, w tym sprawdzać, czy mienie dłużnika, które nie stanowi części przedsiębiorstwa, jest dostatecznie zabezpieczone przed zniszczeniem lub utratą</w:t>
            </w:r>
            <w:r>
              <w:rPr>
                <w:rFonts w:ascii="Times New Roman" w:eastAsia="Times New Roman" w:hAnsi="Times New Roman" w:cs="Times New Roman"/>
                <w:sz w:val="24"/>
                <w:szCs w:val="24"/>
                <w:lang w:eastAsia="pl-PL"/>
              </w:rPr>
              <w:t xml:space="preserve">. </w:t>
            </w:r>
          </w:p>
          <w:p w14:paraId="252BD13C" w14:textId="77777777"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sidRPr="00C52295">
              <w:rPr>
                <w:rFonts w:ascii="Times New Roman" w:eastAsia="Times New Roman" w:hAnsi="Times New Roman" w:cs="Times New Roman"/>
                <w:sz w:val="24"/>
                <w:szCs w:val="24"/>
                <w:lang w:eastAsia="pl-PL"/>
              </w:rPr>
              <w:t xml:space="preserve">Do czynności nadzorcy układu należy w szczególności: </w:t>
            </w:r>
          </w:p>
          <w:p w14:paraId="22BBEC0D" w14:textId="77777777"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sidRPr="00C52295">
              <w:rPr>
                <w:rFonts w:ascii="Times New Roman" w:eastAsia="Times New Roman" w:hAnsi="Times New Roman" w:cs="Times New Roman"/>
                <w:sz w:val="24"/>
                <w:szCs w:val="24"/>
                <w:lang w:eastAsia="pl-PL"/>
              </w:rPr>
              <w:t xml:space="preserve">1) sporządzenie planu restrukturyzacyjnego; </w:t>
            </w:r>
          </w:p>
          <w:p w14:paraId="3584F129" w14:textId="77777777"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sidRPr="00C52295">
              <w:rPr>
                <w:rFonts w:ascii="Times New Roman" w:eastAsia="Times New Roman" w:hAnsi="Times New Roman" w:cs="Times New Roman"/>
                <w:sz w:val="24"/>
                <w:szCs w:val="24"/>
                <w:lang w:eastAsia="pl-PL"/>
              </w:rPr>
              <w:t xml:space="preserve">2) przygotowanie wspólnie z dłużnikiem propozycji układowych; </w:t>
            </w:r>
          </w:p>
          <w:p w14:paraId="3E422F43" w14:textId="77777777"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sidRPr="00C52295">
              <w:rPr>
                <w:rFonts w:ascii="Times New Roman" w:eastAsia="Times New Roman" w:hAnsi="Times New Roman" w:cs="Times New Roman"/>
                <w:sz w:val="24"/>
                <w:szCs w:val="24"/>
                <w:lang w:eastAsia="pl-PL"/>
              </w:rPr>
              <w:t xml:space="preserve">3) sporządzenie spisu wierzytelności oraz spisu wierzytelności spornych; </w:t>
            </w:r>
          </w:p>
          <w:p w14:paraId="259C0BC4" w14:textId="77777777"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sidRPr="00C52295">
              <w:rPr>
                <w:rFonts w:ascii="Times New Roman" w:eastAsia="Times New Roman" w:hAnsi="Times New Roman" w:cs="Times New Roman"/>
                <w:sz w:val="24"/>
                <w:szCs w:val="24"/>
                <w:lang w:eastAsia="pl-PL"/>
              </w:rPr>
              <w:t xml:space="preserve">4) współpraca z dłużnikiem w zakresie sprawnego i zgodnego z prawem zbierania głosów przy zachowaniu praw wierzycieli; </w:t>
            </w:r>
          </w:p>
          <w:p w14:paraId="5F2849AF" w14:textId="0C1BE7E6"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sidRPr="00C52295">
              <w:rPr>
                <w:rFonts w:ascii="Times New Roman" w:eastAsia="Times New Roman" w:hAnsi="Times New Roman" w:cs="Times New Roman"/>
                <w:sz w:val="24"/>
                <w:szCs w:val="24"/>
                <w:lang w:eastAsia="pl-PL"/>
              </w:rPr>
              <w:t>5) złożenie sprawozdania o możliwości wykonania układu</w:t>
            </w:r>
          </w:p>
        </w:tc>
      </w:tr>
      <w:tr w:rsidR="00C52295" w14:paraId="3A6D572C" w14:textId="77777777" w:rsidTr="00F00929">
        <w:tc>
          <w:tcPr>
            <w:tcW w:w="1136" w:type="dxa"/>
          </w:tcPr>
          <w:p w14:paraId="3095ACF5" w14:textId="1A76B5A8"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Nadzorca sądowy</w:t>
            </w:r>
          </w:p>
        </w:tc>
        <w:tc>
          <w:tcPr>
            <w:tcW w:w="3395" w:type="dxa"/>
          </w:tcPr>
          <w:p w14:paraId="7918FEC1" w14:textId="2649F9ED"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sidRPr="00C52295">
              <w:rPr>
                <w:rFonts w:ascii="Times New Roman" w:eastAsia="Times New Roman" w:hAnsi="Times New Roman" w:cs="Times New Roman"/>
                <w:sz w:val="24"/>
                <w:szCs w:val="24"/>
                <w:lang w:eastAsia="pl-PL"/>
              </w:rPr>
              <w:t>Po powołaniu nadzorcy sądowego dłużnik może dokonywać czynności zwykłego zarządu. Na dokonanie czynności przekraczających zakres zwykłego zarządu wymagana jest zgoda nadzorcy sądowego, chyba że ustawa przewiduje zezwolenie rady wierzycieli. Zgoda może zostać udzielona również po dokonaniu czynności w terminie trzydziestu dni od dnia jej dokonania. Czynność przekraczająca zakres zwykłego zarządu dokonana bez wymaganej zgody jest nieważna.</w:t>
            </w:r>
          </w:p>
        </w:tc>
        <w:tc>
          <w:tcPr>
            <w:tcW w:w="4819" w:type="dxa"/>
          </w:tcPr>
          <w:p w14:paraId="51EEBBF9" w14:textId="5ADC72FF"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Podstawowym zadaniem nadzorcy sądowego jest zatem kontrola sposobu sprawowania zarządu przez dłużnika w czasie postępowania układowego, w tym udzielanie zgody na czynności przekraczające zakres zwykłego zarządu.</w:t>
            </w:r>
          </w:p>
          <w:p w14:paraId="0F99A60B" w14:textId="77777777" w:rsidR="00C52295" w:rsidRDefault="00C52295" w:rsidP="00873DE4">
            <w:pPr>
              <w:pStyle w:val="Akapitzlist"/>
              <w:spacing w:line="360" w:lineRule="auto"/>
              <w:ind w:left="0"/>
              <w:jc w:val="both"/>
            </w:pPr>
            <w:r w:rsidRPr="00C52295">
              <w:rPr>
                <w:rFonts w:ascii="Times New Roman" w:eastAsia="Times New Roman" w:hAnsi="Times New Roman" w:cs="Times New Roman"/>
                <w:sz w:val="24"/>
                <w:szCs w:val="24"/>
                <w:lang w:eastAsia="pl-PL"/>
              </w:rPr>
              <w:t>Do czynności nadzorcy sądowego należy w szczególności:</w:t>
            </w:r>
            <w:r w:rsidRPr="00C52295">
              <w:t xml:space="preserve"> </w:t>
            </w:r>
          </w:p>
          <w:p w14:paraId="1B210E98" w14:textId="77777777"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sidRPr="00C52295">
              <w:rPr>
                <w:rFonts w:ascii="Times New Roman" w:eastAsia="Times New Roman" w:hAnsi="Times New Roman" w:cs="Times New Roman"/>
                <w:sz w:val="24"/>
                <w:szCs w:val="24"/>
                <w:lang w:eastAsia="pl-PL"/>
              </w:rPr>
              <w:t xml:space="preserve">1) zawiadomienie wierzycieli o otwarciu postępowania restrukturyzacyjnego; </w:t>
            </w:r>
          </w:p>
          <w:p w14:paraId="6547E21B" w14:textId="77777777"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sidRPr="00C52295">
              <w:rPr>
                <w:rFonts w:ascii="Times New Roman" w:eastAsia="Times New Roman" w:hAnsi="Times New Roman" w:cs="Times New Roman"/>
                <w:sz w:val="24"/>
                <w:szCs w:val="24"/>
                <w:lang w:eastAsia="pl-PL"/>
              </w:rPr>
              <w:t xml:space="preserve">2) sporządzenie planu restrukturyzacyjnego i spisu wierzytelności; </w:t>
            </w:r>
          </w:p>
          <w:p w14:paraId="2901446D" w14:textId="77777777"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sidRPr="00C52295">
              <w:rPr>
                <w:rFonts w:ascii="Times New Roman" w:eastAsia="Times New Roman" w:hAnsi="Times New Roman" w:cs="Times New Roman"/>
                <w:sz w:val="24"/>
                <w:szCs w:val="24"/>
                <w:lang w:eastAsia="pl-PL"/>
              </w:rPr>
              <w:t xml:space="preserve">3) ocena propozycji układowych, w tym, w razie potrzeby, doradztwo w zakresie ich zmiany w celu zapewnienia zgodności z prawem i możliwości ich wykonania, podejmowanie działań w celu złożenia przez wierzycieli możliwie największej liczby ważnych głosów, udział w zgromadzeniu wierzycieli oraz złożenie opinii o możliwości wykonania układu; </w:t>
            </w:r>
          </w:p>
          <w:p w14:paraId="4EF22474" w14:textId="11BA093E"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sidRPr="00C52295">
              <w:rPr>
                <w:rFonts w:ascii="Times New Roman" w:eastAsia="Times New Roman" w:hAnsi="Times New Roman" w:cs="Times New Roman"/>
                <w:sz w:val="24"/>
                <w:szCs w:val="24"/>
                <w:lang w:eastAsia="pl-PL"/>
              </w:rPr>
              <w:t>4) w przyspieszonym postępowaniu układowym – sporządzenie spisu wierzytelności spornych.</w:t>
            </w:r>
          </w:p>
        </w:tc>
      </w:tr>
      <w:tr w:rsidR="00C52295" w14:paraId="13C086DA" w14:textId="77777777" w:rsidTr="00F00929">
        <w:tc>
          <w:tcPr>
            <w:tcW w:w="1136" w:type="dxa"/>
          </w:tcPr>
          <w:p w14:paraId="24B52C3B" w14:textId="2276AC14" w:rsidR="00C52295" w:rsidRDefault="00C52295" w:rsidP="00873DE4">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Zarządca</w:t>
            </w:r>
          </w:p>
        </w:tc>
        <w:tc>
          <w:tcPr>
            <w:tcW w:w="3395" w:type="dxa"/>
          </w:tcPr>
          <w:p w14:paraId="22D5FEB9" w14:textId="77777777" w:rsidR="00C52295" w:rsidRDefault="00282117" w:rsidP="00873DE4">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Dłużnik jest pozbawiony zarządu masą sanacyjną.</w:t>
            </w:r>
            <w:r w:rsidRPr="00F15FF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Pr="00F15FFE">
              <w:rPr>
                <w:rFonts w:ascii="Times New Roman" w:eastAsia="Times New Roman" w:hAnsi="Times New Roman" w:cs="Times New Roman"/>
                <w:sz w:val="24"/>
                <w:szCs w:val="24"/>
                <w:lang w:eastAsia="pl-PL"/>
              </w:rPr>
              <w:t>arząd</w:t>
            </w:r>
            <w:r>
              <w:rPr>
                <w:rFonts w:ascii="Times New Roman" w:eastAsia="Times New Roman" w:hAnsi="Times New Roman" w:cs="Times New Roman"/>
                <w:sz w:val="24"/>
                <w:szCs w:val="24"/>
                <w:lang w:eastAsia="pl-PL"/>
              </w:rPr>
              <w:t xml:space="preserve"> ten </w:t>
            </w:r>
            <w:r w:rsidRPr="00F15FFE">
              <w:rPr>
                <w:rFonts w:ascii="Times New Roman" w:eastAsia="Times New Roman" w:hAnsi="Times New Roman" w:cs="Times New Roman"/>
                <w:sz w:val="24"/>
                <w:szCs w:val="24"/>
                <w:lang w:eastAsia="pl-PL"/>
              </w:rPr>
              <w:t xml:space="preserve"> niezwłocznie obejmuje </w:t>
            </w:r>
            <w:r>
              <w:rPr>
                <w:rFonts w:ascii="Times New Roman" w:eastAsia="Times New Roman" w:hAnsi="Times New Roman" w:cs="Times New Roman"/>
                <w:sz w:val="24"/>
                <w:szCs w:val="24"/>
                <w:lang w:eastAsia="pl-PL"/>
              </w:rPr>
              <w:t>z</w:t>
            </w:r>
            <w:r w:rsidR="00F15FFE" w:rsidRPr="00F15FFE">
              <w:rPr>
                <w:rFonts w:ascii="Times New Roman" w:eastAsia="Times New Roman" w:hAnsi="Times New Roman" w:cs="Times New Roman"/>
                <w:sz w:val="24"/>
                <w:szCs w:val="24"/>
                <w:lang w:eastAsia="pl-PL"/>
              </w:rPr>
              <w:t>arządca</w:t>
            </w:r>
            <w:r>
              <w:rPr>
                <w:rFonts w:ascii="Times New Roman" w:eastAsia="Times New Roman" w:hAnsi="Times New Roman" w:cs="Times New Roman"/>
                <w:sz w:val="24"/>
                <w:szCs w:val="24"/>
                <w:lang w:eastAsia="pl-PL"/>
              </w:rPr>
              <w:t>.</w:t>
            </w:r>
            <w:r w:rsidR="00F15FFE" w:rsidRPr="00F15FFE">
              <w:rPr>
                <w:rFonts w:ascii="Times New Roman" w:eastAsia="Times New Roman" w:hAnsi="Times New Roman" w:cs="Times New Roman"/>
                <w:sz w:val="24"/>
                <w:szCs w:val="24"/>
                <w:lang w:eastAsia="pl-PL"/>
              </w:rPr>
              <w:t xml:space="preserve"> </w:t>
            </w:r>
            <w:r w:rsidR="001D1BE8" w:rsidRPr="001D1BE8">
              <w:rPr>
                <w:rFonts w:ascii="Times New Roman" w:eastAsia="Times New Roman" w:hAnsi="Times New Roman" w:cs="Times New Roman"/>
                <w:sz w:val="24"/>
                <w:szCs w:val="24"/>
                <w:lang w:eastAsia="pl-PL"/>
              </w:rPr>
              <w:t>Czynności prawne dokonane przez dłużnika dotyczące mienia, wobec którego dłużnik utracił prawo zarządu, są nieważne.</w:t>
            </w:r>
          </w:p>
          <w:p w14:paraId="556EA927" w14:textId="0B842F25" w:rsidR="00F00929" w:rsidRDefault="00F00929" w:rsidP="00873DE4">
            <w:pPr>
              <w:pStyle w:val="Akapitzlist"/>
              <w:spacing w:line="360" w:lineRule="auto"/>
              <w:ind w:left="0"/>
              <w:jc w:val="both"/>
              <w:rPr>
                <w:rFonts w:ascii="Times New Roman" w:eastAsia="Times New Roman" w:hAnsi="Times New Roman" w:cs="Times New Roman"/>
                <w:sz w:val="24"/>
                <w:szCs w:val="24"/>
                <w:lang w:eastAsia="pl-PL"/>
              </w:rPr>
            </w:pPr>
            <w:r w:rsidRPr="00F00929">
              <w:rPr>
                <w:rFonts w:ascii="Times New Roman" w:eastAsia="Times New Roman" w:hAnsi="Times New Roman" w:cs="Times New Roman"/>
                <w:sz w:val="24"/>
                <w:szCs w:val="24"/>
                <w:lang w:eastAsia="pl-PL"/>
              </w:rPr>
              <w:t xml:space="preserve">Spełnienie świadczenia do rąk dłużnika pozbawionego prawa zarządu, dokonane po obwieszczeniu o otwarciu </w:t>
            </w:r>
            <w:r w:rsidRPr="00F00929">
              <w:rPr>
                <w:rFonts w:ascii="Times New Roman" w:eastAsia="Times New Roman" w:hAnsi="Times New Roman" w:cs="Times New Roman"/>
                <w:sz w:val="24"/>
                <w:szCs w:val="24"/>
                <w:lang w:eastAsia="pl-PL"/>
              </w:rPr>
              <w:lastRenderedPageBreak/>
              <w:t>postępowania restrukturyzacyjnego, nie zwalnia z obowiązku spełnienia świadczenia do rąk zarządcy, chyba że równowartość świadczenia wpłynęła do masy układowej albo sanacyjnej</w:t>
            </w:r>
          </w:p>
        </w:tc>
        <w:tc>
          <w:tcPr>
            <w:tcW w:w="4819" w:type="dxa"/>
          </w:tcPr>
          <w:p w14:paraId="1CA518D5" w14:textId="77777777" w:rsidR="00C52295" w:rsidRDefault="00282117" w:rsidP="00873DE4">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Podstawowym zadaniem zarządcy jest sprawowanie zarządu masą sanacyjną.</w:t>
            </w:r>
            <w:r w:rsidRPr="00282117">
              <w:t xml:space="preserve"> </w:t>
            </w:r>
            <w:r w:rsidRPr="00282117">
              <w:rPr>
                <w:rFonts w:ascii="Times New Roman" w:eastAsia="Times New Roman" w:hAnsi="Times New Roman" w:cs="Times New Roman"/>
                <w:sz w:val="24"/>
                <w:szCs w:val="24"/>
                <w:lang w:eastAsia="pl-PL"/>
              </w:rPr>
              <w:t>W sprawach dotyczących masy sanacyjnej zarządca dokonuje czynności w imieniu własnym na rachunek dłużnika</w:t>
            </w:r>
            <w:r>
              <w:rPr>
                <w:rFonts w:ascii="Times New Roman" w:eastAsia="Times New Roman" w:hAnsi="Times New Roman" w:cs="Times New Roman"/>
                <w:sz w:val="24"/>
                <w:szCs w:val="24"/>
                <w:lang w:eastAsia="pl-PL"/>
              </w:rPr>
              <w:t xml:space="preserve">,  </w:t>
            </w:r>
            <w:r w:rsidRPr="00282117">
              <w:rPr>
                <w:rFonts w:ascii="Times New Roman" w:eastAsia="Times New Roman" w:hAnsi="Times New Roman" w:cs="Times New Roman"/>
                <w:sz w:val="24"/>
                <w:szCs w:val="24"/>
                <w:lang w:eastAsia="pl-PL"/>
              </w:rPr>
              <w:t xml:space="preserve">nie odpowiada za zaciągnięte w </w:t>
            </w:r>
            <w:r>
              <w:rPr>
                <w:rFonts w:ascii="Times New Roman" w:eastAsia="Times New Roman" w:hAnsi="Times New Roman" w:cs="Times New Roman"/>
                <w:sz w:val="24"/>
                <w:szCs w:val="24"/>
                <w:lang w:eastAsia="pl-PL"/>
              </w:rPr>
              <w:t xml:space="preserve">tych </w:t>
            </w:r>
            <w:r w:rsidRPr="00282117">
              <w:rPr>
                <w:rFonts w:ascii="Times New Roman" w:eastAsia="Times New Roman" w:hAnsi="Times New Roman" w:cs="Times New Roman"/>
                <w:sz w:val="24"/>
                <w:szCs w:val="24"/>
                <w:lang w:eastAsia="pl-PL"/>
              </w:rPr>
              <w:t>sprawach zobowiązania</w:t>
            </w:r>
            <w:r>
              <w:rPr>
                <w:rFonts w:ascii="Times New Roman" w:eastAsia="Times New Roman" w:hAnsi="Times New Roman" w:cs="Times New Roman"/>
                <w:sz w:val="24"/>
                <w:szCs w:val="24"/>
                <w:lang w:eastAsia="pl-PL"/>
              </w:rPr>
              <w:t xml:space="preserve">. </w:t>
            </w:r>
          </w:p>
          <w:p w14:paraId="115C0F38" w14:textId="33E5A2DF" w:rsidR="00597479" w:rsidRDefault="00597479" w:rsidP="00873DE4">
            <w:pPr>
              <w:pStyle w:val="Akapitzlist"/>
              <w:spacing w:line="36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597479">
              <w:rPr>
                <w:rFonts w:ascii="Times New Roman" w:eastAsia="Times New Roman" w:hAnsi="Times New Roman" w:cs="Times New Roman"/>
                <w:sz w:val="24"/>
                <w:szCs w:val="24"/>
                <w:lang w:eastAsia="pl-PL"/>
              </w:rPr>
              <w:t>ykonuje obowiązki sprawozdawcze ciążące na dłużniku.</w:t>
            </w:r>
          </w:p>
        </w:tc>
      </w:tr>
    </w:tbl>
    <w:p w14:paraId="4AA24D00" w14:textId="128B5E8B" w:rsidR="0083408E" w:rsidRPr="0030443C" w:rsidRDefault="0083408E" w:rsidP="0030443C">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sectPr w:rsidR="0083408E" w:rsidRPr="0030443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4F98" w14:textId="77777777" w:rsidR="006827CD" w:rsidRDefault="006827CD" w:rsidP="004737E3">
      <w:pPr>
        <w:spacing w:after="0" w:line="240" w:lineRule="auto"/>
      </w:pPr>
      <w:r>
        <w:separator/>
      </w:r>
    </w:p>
  </w:endnote>
  <w:endnote w:type="continuationSeparator" w:id="0">
    <w:p w14:paraId="044E5F28" w14:textId="77777777" w:rsidR="006827CD" w:rsidRDefault="006827CD" w:rsidP="00473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887741"/>
      <w:docPartObj>
        <w:docPartGallery w:val="Page Numbers (Bottom of Page)"/>
        <w:docPartUnique/>
      </w:docPartObj>
    </w:sdtPr>
    <w:sdtContent>
      <w:p w14:paraId="0E7A1578" w14:textId="2C3D2337" w:rsidR="004737E3" w:rsidRDefault="004737E3">
        <w:pPr>
          <w:pStyle w:val="Stopka"/>
          <w:jc w:val="right"/>
        </w:pPr>
        <w:r>
          <w:fldChar w:fldCharType="begin"/>
        </w:r>
        <w:r>
          <w:instrText>PAGE   \* MERGEFORMAT</w:instrText>
        </w:r>
        <w:r>
          <w:fldChar w:fldCharType="separate"/>
        </w:r>
        <w:r>
          <w:t>2</w:t>
        </w:r>
        <w:r>
          <w:fldChar w:fldCharType="end"/>
        </w:r>
      </w:p>
    </w:sdtContent>
  </w:sdt>
  <w:p w14:paraId="5C9920F6" w14:textId="77777777" w:rsidR="004737E3" w:rsidRDefault="004737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1B8A2" w14:textId="77777777" w:rsidR="006827CD" w:rsidRDefault="006827CD" w:rsidP="004737E3">
      <w:pPr>
        <w:spacing w:after="0" w:line="240" w:lineRule="auto"/>
      </w:pPr>
      <w:r>
        <w:separator/>
      </w:r>
    </w:p>
  </w:footnote>
  <w:footnote w:type="continuationSeparator" w:id="0">
    <w:p w14:paraId="32B1B874" w14:textId="77777777" w:rsidR="006827CD" w:rsidRDefault="006827CD" w:rsidP="00473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26B6"/>
    <w:multiLevelType w:val="hybridMultilevel"/>
    <w:tmpl w:val="AE6289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3E370D"/>
    <w:multiLevelType w:val="multilevel"/>
    <w:tmpl w:val="F72A9B20"/>
    <w:lvl w:ilvl="0">
      <w:start w:val="1"/>
      <w:numFmt w:val="decimal"/>
      <w:lvlText w:val="%1)"/>
      <w:lvlJc w:val="left"/>
      <w:pPr>
        <w:ind w:left="360" w:hanging="360"/>
      </w:pPr>
      <w:rPr>
        <w:rFonts w:hint="default"/>
      </w:rPr>
    </w:lvl>
    <w:lvl w:ilvl="1">
      <w:start w:val="3"/>
      <w:numFmt w:val="decimal"/>
      <w:isLgl/>
      <w:lvlText w:val="%1.%2."/>
      <w:lvlJc w:val="left"/>
      <w:pPr>
        <w:ind w:left="1495"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454C2E2C"/>
    <w:multiLevelType w:val="hybridMultilevel"/>
    <w:tmpl w:val="8C228D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E9E4F02"/>
    <w:multiLevelType w:val="hybridMultilevel"/>
    <w:tmpl w:val="EA7662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804C78"/>
    <w:multiLevelType w:val="hybridMultilevel"/>
    <w:tmpl w:val="3C12F3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38B074F"/>
    <w:multiLevelType w:val="hybridMultilevel"/>
    <w:tmpl w:val="147049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6C606CEA"/>
    <w:multiLevelType w:val="multilevel"/>
    <w:tmpl w:val="8AC4E5F0"/>
    <w:lvl w:ilvl="0">
      <w:start w:val="1"/>
      <w:numFmt w:val="decimal"/>
      <w:lvlText w:val="%1."/>
      <w:lvlJc w:val="left"/>
      <w:pPr>
        <w:ind w:left="36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7B7512A4"/>
    <w:multiLevelType w:val="hybridMultilevel"/>
    <w:tmpl w:val="9F82A488"/>
    <w:lvl w:ilvl="0" w:tplc="9CD079D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7DDE05BA"/>
    <w:multiLevelType w:val="hybridMultilevel"/>
    <w:tmpl w:val="DFC875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5486338">
    <w:abstractNumId w:val="3"/>
  </w:num>
  <w:num w:numId="2" w16cid:durableId="685250088">
    <w:abstractNumId w:val="6"/>
  </w:num>
  <w:num w:numId="3" w16cid:durableId="296885943">
    <w:abstractNumId w:val="4"/>
  </w:num>
  <w:num w:numId="4" w16cid:durableId="101729745">
    <w:abstractNumId w:val="5"/>
  </w:num>
  <w:num w:numId="5" w16cid:durableId="1715083260">
    <w:abstractNumId w:val="2"/>
  </w:num>
  <w:num w:numId="6" w16cid:durableId="1013580003">
    <w:abstractNumId w:val="0"/>
  </w:num>
  <w:num w:numId="7" w16cid:durableId="402794840">
    <w:abstractNumId w:val="8"/>
  </w:num>
  <w:num w:numId="8" w16cid:durableId="1745952609">
    <w:abstractNumId w:val="1"/>
  </w:num>
  <w:num w:numId="9" w16cid:durableId="1048380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CE"/>
    <w:rsid w:val="00024545"/>
    <w:rsid w:val="000968B3"/>
    <w:rsid w:val="000B3C9F"/>
    <w:rsid w:val="001D1BE8"/>
    <w:rsid w:val="00282117"/>
    <w:rsid w:val="002D38E1"/>
    <w:rsid w:val="002E122F"/>
    <w:rsid w:val="0030443C"/>
    <w:rsid w:val="003D02EA"/>
    <w:rsid w:val="00412DED"/>
    <w:rsid w:val="004737E3"/>
    <w:rsid w:val="004E0E72"/>
    <w:rsid w:val="004F3034"/>
    <w:rsid w:val="00590030"/>
    <w:rsid w:val="00597479"/>
    <w:rsid w:val="00627250"/>
    <w:rsid w:val="00680A32"/>
    <w:rsid w:val="006827CD"/>
    <w:rsid w:val="006C1DF6"/>
    <w:rsid w:val="00717DC3"/>
    <w:rsid w:val="007226C4"/>
    <w:rsid w:val="007652F9"/>
    <w:rsid w:val="0083408E"/>
    <w:rsid w:val="008411CE"/>
    <w:rsid w:val="00873DE4"/>
    <w:rsid w:val="008A20BB"/>
    <w:rsid w:val="008E2374"/>
    <w:rsid w:val="00943D04"/>
    <w:rsid w:val="009825D0"/>
    <w:rsid w:val="00993B5D"/>
    <w:rsid w:val="009A4753"/>
    <w:rsid w:val="009F1560"/>
    <w:rsid w:val="00A03E3A"/>
    <w:rsid w:val="00A4344D"/>
    <w:rsid w:val="00A70C18"/>
    <w:rsid w:val="00AA4520"/>
    <w:rsid w:val="00AC7ABF"/>
    <w:rsid w:val="00B37562"/>
    <w:rsid w:val="00BE4942"/>
    <w:rsid w:val="00C52295"/>
    <w:rsid w:val="00C826DB"/>
    <w:rsid w:val="00CA4776"/>
    <w:rsid w:val="00CC2A11"/>
    <w:rsid w:val="00CC7BAA"/>
    <w:rsid w:val="00CF0BAF"/>
    <w:rsid w:val="00CF38CB"/>
    <w:rsid w:val="00D12165"/>
    <w:rsid w:val="00D54BD5"/>
    <w:rsid w:val="00DB7249"/>
    <w:rsid w:val="00EC740F"/>
    <w:rsid w:val="00EC7522"/>
    <w:rsid w:val="00F00929"/>
    <w:rsid w:val="00F15FFE"/>
    <w:rsid w:val="00FB73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E6F4"/>
  <w15:chartTrackingRefBased/>
  <w15:docId w15:val="{97CB293E-660A-4888-ACD9-A7859E0A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11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11CE"/>
    <w:pPr>
      <w:ind w:left="720"/>
      <w:contextualSpacing/>
    </w:pPr>
  </w:style>
  <w:style w:type="paragraph" w:styleId="Nagwek">
    <w:name w:val="header"/>
    <w:basedOn w:val="Normalny"/>
    <w:link w:val="NagwekZnak"/>
    <w:uiPriority w:val="99"/>
    <w:unhideWhenUsed/>
    <w:rsid w:val="004737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37E3"/>
  </w:style>
  <w:style w:type="paragraph" w:styleId="Stopka">
    <w:name w:val="footer"/>
    <w:basedOn w:val="Normalny"/>
    <w:link w:val="StopkaZnak"/>
    <w:uiPriority w:val="99"/>
    <w:unhideWhenUsed/>
    <w:rsid w:val="004737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37E3"/>
  </w:style>
  <w:style w:type="table" w:styleId="Tabela-Siatka">
    <w:name w:val="Table Grid"/>
    <w:basedOn w:val="Standardowy"/>
    <w:uiPriority w:val="39"/>
    <w:rsid w:val="00CF0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rsid w:val="00412DE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2DED"/>
    <w:rPr>
      <w:sz w:val="20"/>
      <w:szCs w:val="20"/>
    </w:rPr>
  </w:style>
  <w:style w:type="paragraph" w:styleId="Tekstprzypisudolnego">
    <w:name w:val="footnote text"/>
    <w:basedOn w:val="Normalny"/>
    <w:link w:val="TekstprzypisudolnegoZnak"/>
    <w:qFormat/>
    <w:rsid w:val="00412DE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412DED"/>
    <w:rPr>
      <w:rFonts w:ascii="Times New Roman" w:eastAsia="Times New Roman" w:hAnsi="Times New Roman" w:cs="Times New Roman"/>
      <w:sz w:val="20"/>
      <w:szCs w:val="20"/>
      <w:lang w:eastAsia="pl-PL"/>
    </w:rPr>
  </w:style>
  <w:style w:type="character" w:styleId="Odwoanieprzypisudolnego">
    <w:name w:val="footnote reference"/>
    <w:aliases w:val="ewa,Footnote Reference Number,Odwołanie przypisu Znak Znak,Odwołanie przypisu,Odwo3anie przypisu,SUPERS,Odsy³acz przypisu dolnego 1,Odsy3acz przypisu dolnego 1,Odsyłacz przypisu dolnego 1,FZ,Footnote symbol,Voetnootverwijzing"/>
    <w:uiPriority w:val="99"/>
    <w:rsid w:val="00412DED"/>
    <w:rPr>
      <w:vertAlign w:val="superscript"/>
    </w:rPr>
  </w:style>
  <w:style w:type="character" w:styleId="Odwoaniedokomentarza">
    <w:name w:val="annotation reference"/>
    <w:basedOn w:val="Domylnaczcionkaakapitu"/>
    <w:uiPriority w:val="99"/>
    <w:semiHidden/>
    <w:unhideWhenUsed/>
    <w:rsid w:val="00412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71F49-0893-4FCB-BED5-AE4066E8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736</Words>
  <Characters>4422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Horosz</dc:creator>
  <cp:keywords/>
  <dc:description/>
  <cp:lastModifiedBy>Piotr Horosz</cp:lastModifiedBy>
  <cp:revision>3</cp:revision>
  <dcterms:created xsi:type="dcterms:W3CDTF">2022-12-11T17:19:00Z</dcterms:created>
  <dcterms:modified xsi:type="dcterms:W3CDTF">2022-12-11T17:20:00Z</dcterms:modified>
</cp:coreProperties>
</file>