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848C8" w14:textId="77777777" w:rsidR="009C1B26" w:rsidRDefault="009C1B26" w:rsidP="00101187">
      <w:pPr>
        <w:spacing w:after="0" w:line="360" w:lineRule="auto"/>
        <w:jc w:val="center"/>
        <w:rPr>
          <w:rFonts w:ascii="Times New Roman" w:eastAsia="Times New Roman" w:hAnsi="Times New Roman" w:cs="Times New Roman"/>
          <w:b/>
          <w:bCs/>
          <w:sz w:val="24"/>
          <w:szCs w:val="24"/>
          <w:lang w:eastAsia="pl-PL"/>
        </w:rPr>
      </w:pPr>
    </w:p>
    <w:p w14:paraId="77B73BDB" w14:textId="00CF5723" w:rsidR="00101187" w:rsidRDefault="00101187" w:rsidP="00101187">
      <w:pPr>
        <w:spacing w:after="0" w:line="360" w:lineRule="auto"/>
        <w:jc w:val="center"/>
        <w:rPr>
          <w:rFonts w:ascii="Times New Roman" w:eastAsia="Times New Roman" w:hAnsi="Times New Roman" w:cs="Times New Roman"/>
          <w:b/>
          <w:bCs/>
          <w:sz w:val="24"/>
          <w:szCs w:val="24"/>
          <w:lang w:eastAsia="pl-PL"/>
        </w:rPr>
      </w:pPr>
      <w:r w:rsidRPr="00F141CE">
        <w:rPr>
          <w:rFonts w:ascii="Times New Roman" w:eastAsia="Times New Roman" w:hAnsi="Times New Roman" w:cs="Times New Roman"/>
          <w:b/>
          <w:bCs/>
          <w:sz w:val="24"/>
          <w:szCs w:val="24"/>
          <w:lang w:eastAsia="pl-PL"/>
        </w:rPr>
        <w:t>PRAWO RESTRUKTURYZACYJNE</w:t>
      </w:r>
      <w:r>
        <w:rPr>
          <w:rFonts w:ascii="Times New Roman" w:eastAsia="Times New Roman" w:hAnsi="Times New Roman" w:cs="Times New Roman"/>
          <w:b/>
          <w:bCs/>
          <w:sz w:val="24"/>
          <w:szCs w:val="24"/>
          <w:lang w:eastAsia="pl-PL"/>
        </w:rPr>
        <w:t xml:space="preserve"> Cz. </w:t>
      </w:r>
      <w:r w:rsidR="001E3647">
        <w:rPr>
          <w:rFonts w:ascii="Times New Roman" w:eastAsia="Times New Roman" w:hAnsi="Times New Roman" w:cs="Times New Roman"/>
          <w:b/>
          <w:bCs/>
          <w:sz w:val="24"/>
          <w:szCs w:val="24"/>
          <w:lang w:eastAsia="pl-PL"/>
        </w:rPr>
        <w:t>6</w:t>
      </w:r>
      <w:r>
        <w:rPr>
          <w:rFonts w:ascii="Times New Roman" w:eastAsia="Times New Roman" w:hAnsi="Times New Roman" w:cs="Times New Roman"/>
          <w:b/>
          <w:bCs/>
          <w:sz w:val="24"/>
          <w:szCs w:val="24"/>
          <w:lang w:eastAsia="pl-PL"/>
        </w:rPr>
        <w:t xml:space="preserve"> – </w:t>
      </w:r>
      <w:r w:rsidR="001E3647">
        <w:rPr>
          <w:rFonts w:ascii="Times New Roman" w:eastAsia="Times New Roman" w:hAnsi="Times New Roman" w:cs="Times New Roman"/>
          <w:b/>
          <w:bCs/>
          <w:sz w:val="24"/>
          <w:szCs w:val="24"/>
          <w:lang w:eastAsia="pl-PL"/>
        </w:rPr>
        <w:t>UKŁAD</w:t>
      </w:r>
      <w:r w:rsidR="000E1D24">
        <w:rPr>
          <w:rFonts w:ascii="Times New Roman" w:eastAsia="Times New Roman" w:hAnsi="Times New Roman" w:cs="Times New Roman"/>
          <w:b/>
          <w:bCs/>
          <w:sz w:val="24"/>
          <w:szCs w:val="24"/>
          <w:lang w:eastAsia="pl-PL"/>
        </w:rPr>
        <w:t xml:space="preserve"> – vol. 1</w:t>
      </w:r>
    </w:p>
    <w:p w14:paraId="14E2B3A5" w14:textId="0E2B7ACF" w:rsidR="00FF43DD" w:rsidRDefault="00FF43DD" w:rsidP="00101187">
      <w:pPr>
        <w:spacing w:after="0" w:line="360" w:lineRule="auto"/>
        <w:jc w:val="center"/>
        <w:rPr>
          <w:rFonts w:ascii="Times New Roman" w:eastAsia="Times New Roman" w:hAnsi="Times New Roman" w:cs="Times New Roman"/>
          <w:b/>
          <w:bCs/>
          <w:sz w:val="24"/>
          <w:szCs w:val="24"/>
          <w:lang w:eastAsia="pl-PL"/>
        </w:rPr>
      </w:pPr>
    </w:p>
    <w:p w14:paraId="35130A87" w14:textId="3687A0C7" w:rsidR="00195DE3" w:rsidRDefault="00195DE3" w:rsidP="00101187">
      <w:pPr>
        <w:spacing w:after="0" w:line="360" w:lineRule="auto"/>
        <w:jc w:val="center"/>
        <w:rPr>
          <w:rFonts w:ascii="Times New Roman" w:eastAsia="Times New Roman" w:hAnsi="Times New Roman" w:cs="Times New Roman"/>
          <w:b/>
          <w:bCs/>
          <w:sz w:val="24"/>
          <w:szCs w:val="24"/>
          <w:lang w:eastAsia="pl-PL"/>
        </w:rPr>
      </w:pPr>
    </w:p>
    <w:p w14:paraId="0C2FD3EE" w14:textId="4260313A" w:rsidR="00195DE3" w:rsidRPr="00195DE3" w:rsidRDefault="00195DE3" w:rsidP="00195DE3">
      <w:pPr>
        <w:pStyle w:val="Akapitzlist"/>
        <w:numPr>
          <w:ilvl w:val="0"/>
          <w:numId w:val="3"/>
        </w:numPr>
        <w:spacing w:after="0" w:line="360" w:lineRule="auto"/>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Zagadnienia ogólne</w:t>
      </w:r>
    </w:p>
    <w:p w14:paraId="792BDB68" w14:textId="5C188D73" w:rsidR="00FF43DD" w:rsidRDefault="00FF43DD" w:rsidP="00FF43DD">
      <w:pPr>
        <w:spacing w:after="0" w:line="360" w:lineRule="auto"/>
        <w:jc w:val="both"/>
        <w:rPr>
          <w:rFonts w:ascii="Times New Roman" w:eastAsia="Times New Roman" w:hAnsi="Times New Roman" w:cs="Times New Roman"/>
          <w:b/>
          <w:bCs/>
          <w:sz w:val="24"/>
          <w:szCs w:val="24"/>
          <w:lang w:eastAsia="pl-PL"/>
        </w:rPr>
      </w:pPr>
    </w:p>
    <w:p w14:paraId="74123EF4" w14:textId="28A9CB55" w:rsidR="00601BD2" w:rsidRPr="009C1B26" w:rsidRDefault="009C1B26" w:rsidP="001E364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Omawiając problematykę układu w postępowaniach restrukturyzacyjnych należy w pierwszym rzędzie przypomnieć regulacje określające zakres przedmiotowy ustawy Prawo restrukturyzacyjne oraz cel postępowań restrukturyzacyjnych. </w:t>
      </w:r>
      <w:r w:rsidR="001E3647" w:rsidRPr="009C1B26">
        <w:rPr>
          <w:rFonts w:ascii="Times New Roman" w:eastAsia="Times New Roman" w:hAnsi="Times New Roman" w:cs="Times New Roman"/>
          <w:sz w:val="24"/>
          <w:szCs w:val="24"/>
          <w:lang w:eastAsia="pl-PL"/>
        </w:rPr>
        <w:t xml:space="preserve"> </w:t>
      </w:r>
      <w:r w:rsidR="00FD1300" w:rsidRPr="009C1B26">
        <w:rPr>
          <w:rFonts w:ascii="Times New Roman" w:eastAsia="Times New Roman" w:hAnsi="Times New Roman" w:cs="Times New Roman"/>
          <w:sz w:val="24"/>
          <w:szCs w:val="24"/>
          <w:lang w:eastAsia="pl-PL"/>
        </w:rPr>
        <w:tab/>
      </w:r>
    </w:p>
    <w:p w14:paraId="4B7F82AF" w14:textId="32E99187" w:rsidR="001E3647" w:rsidRPr="001E3647" w:rsidRDefault="00EB23EE" w:rsidP="00DF5D5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Pr="001E3647">
        <w:rPr>
          <w:rFonts w:ascii="Times New Roman" w:eastAsia="Times New Roman" w:hAnsi="Times New Roman" w:cs="Times New Roman"/>
          <w:sz w:val="24"/>
          <w:szCs w:val="24"/>
          <w:lang w:eastAsia="pl-PL"/>
        </w:rPr>
        <w:t>art. 1</w:t>
      </w:r>
      <w:r>
        <w:rPr>
          <w:rFonts w:ascii="Times New Roman" w:eastAsia="Times New Roman" w:hAnsi="Times New Roman" w:cs="Times New Roman"/>
          <w:sz w:val="24"/>
          <w:szCs w:val="24"/>
          <w:lang w:eastAsia="pl-PL"/>
        </w:rPr>
        <w:t xml:space="preserve"> PR, wyznaczającym jej z</w:t>
      </w:r>
      <w:r w:rsidR="001E3647" w:rsidRPr="001E3647">
        <w:rPr>
          <w:rFonts w:ascii="Times New Roman" w:eastAsia="Times New Roman" w:hAnsi="Times New Roman" w:cs="Times New Roman"/>
          <w:sz w:val="24"/>
          <w:szCs w:val="24"/>
          <w:lang w:eastAsia="pl-PL"/>
        </w:rPr>
        <w:t>akres przedmiotowy przepisy ustawy regulują:</w:t>
      </w:r>
    </w:p>
    <w:p w14:paraId="36313F2C" w14:textId="77777777" w:rsidR="001E3647" w:rsidRDefault="001E3647" w:rsidP="001E3647">
      <w:pPr>
        <w:numPr>
          <w:ilvl w:val="0"/>
          <w:numId w:val="2"/>
        </w:numPr>
        <w:spacing w:after="0" w:line="360" w:lineRule="auto"/>
        <w:jc w:val="both"/>
        <w:rPr>
          <w:rFonts w:ascii="Times New Roman" w:eastAsia="Times New Roman" w:hAnsi="Times New Roman" w:cs="Times New Roman"/>
          <w:sz w:val="24"/>
          <w:szCs w:val="24"/>
          <w:lang w:eastAsia="pl-PL"/>
        </w:rPr>
      </w:pPr>
      <w:r w:rsidRPr="001E3647">
        <w:rPr>
          <w:rFonts w:ascii="Times New Roman" w:eastAsia="Times New Roman" w:hAnsi="Times New Roman" w:cs="Times New Roman"/>
          <w:b/>
          <w:bCs/>
          <w:sz w:val="24"/>
          <w:szCs w:val="24"/>
          <w:lang w:eastAsia="pl-PL"/>
        </w:rPr>
        <w:t>zawieranie przez dłużnika niewypłacalnego lub zagrożonego niewypłacalnością układu z wierzycielami oraz skutki takiego układu</w:t>
      </w:r>
      <w:r w:rsidRPr="001E3647">
        <w:rPr>
          <w:rFonts w:ascii="Times New Roman" w:eastAsia="Times New Roman" w:hAnsi="Times New Roman" w:cs="Times New Roman"/>
          <w:sz w:val="24"/>
          <w:szCs w:val="24"/>
          <w:lang w:eastAsia="pl-PL"/>
        </w:rPr>
        <w:t>;</w:t>
      </w:r>
    </w:p>
    <w:p w14:paraId="0398FA42" w14:textId="778B4DB6" w:rsidR="001E3647" w:rsidRPr="001E3647" w:rsidRDefault="001E3647" w:rsidP="001E3647">
      <w:pPr>
        <w:numPr>
          <w:ilvl w:val="0"/>
          <w:numId w:val="2"/>
        </w:numPr>
        <w:spacing w:after="0" w:line="360" w:lineRule="auto"/>
        <w:jc w:val="both"/>
        <w:rPr>
          <w:rFonts w:ascii="Times New Roman" w:eastAsia="Times New Roman" w:hAnsi="Times New Roman" w:cs="Times New Roman"/>
          <w:sz w:val="24"/>
          <w:szCs w:val="24"/>
          <w:lang w:eastAsia="pl-PL"/>
        </w:rPr>
      </w:pPr>
      <w:r w:rsidRPr="001E3647">
        <w:rPr>
          <w:rFonts w:ascii="Times New Roman" w:eastAsia="Times New Roman" w:hAnsi="Times New Roman" w:cs="Times New Roman"/>
          <w:sz w:val="24"/>
          <w:szCs w:val="24"/>
          <w:lang w:eastAsia="pl-PL"/>
        </w:rPr>
        <w:t>przeprowadzanie działań sanacyjnych</w:t>
      </w:r>
    </w:p>
    <w:p w14:paraId="4C5EA9B0" w14:textId="737FBC9F" w:rsidR="001E3647" w:rsidRDefault="00DF5D5B" w:rsidP="00DF5D5B">
      <w:pPr>
        <w:spacing w:after="0" w:line="360" w:lineRule="auto"/>
        <w:ind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kolei określający cele postępowań restrukturyzacyjnych </w:t>
      </w:r>
      <w:r w:rsidR="009C1B26" w:rsidRPr="009C1B26">
        <w:rPr>
          <w:rFonts w:ascii="Times New Roman" w:eastAsia="Times New Roman" w:hAnsi="Times New Roman" w:cs="Times New Roman"/>
          <w:sz w:val="24"/>
          <w:szCs w:val="24"/>
          <w:lang w:eastAsia="pl-PL"/>
        </w:rPr>
        <w:t xml:space="preserve">art. 3 ust. 1 </w:t>
      </w:r>
      <w:r>
        <w:rPr>
          <w:rFonts w:ascii="Times New Roman" w:eastAsia="Times New Roman" w:hAnsi="Times New Roman" w:cs="Times New Roman"/>
          <w:sz w:val="24"/>
          <w:szCs w:val="24"/>
          <w:lang w:eastAsia="pl-PL"/>
        </w:rPr>
        <w:t>PR</w:t>
      </w:r>
      <w:r w:rsidR="009C1B26" w:rsidRPr="009C1B2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wskazuje, że</w:t>
      </w:r>
      <w:r w:rsidR="009C1B26" w:rsidRPr="009C1B26">
        <w:rPr>
          <w:rFonts w:ascii="Times New Roman" w:eastAsia="Times New Roman" w:hAnsi="Times New Roman" w:cs="Times New Roman"/>
          <w:sz w:val="24"/>
          <w:szCs w:val="24"/>
          <w:lang w:eastAsia="pl-PL"/>
        </w:rPr>
        <w:t xml:space="preserve"> celem </w:t>
      </w:r>
      <w:r>
        <w:rPr>
          <w:rFonts w:ascii="Times New Roman" w:eastAsia="Times New Roman" w:hAnsi="Times New Roman" w:cs="Times New Roman"/>
          <w:sz w:val="24"/>
          <w:szCs w:val="24"/>
          <w:lang w:eastAsia="pl-PL"/>
        </w:rPr>
        <w:t>tym</w:t>
      </w:r>
      <w:r w:rsidR="009C1B26" w:rsidRPr="009C1B26">
        <w:rPr>
          <w:rFonts w:ascii="Times New Roman" w:eastAsia="Times New Roman" w:hAnsi="Times New Roman" w:cs="Times New Roman"/>
          <w:sz w:val="24"/>
          <w:szCs w:val="24"/>
          <w:lang w:eastAsia="pl-PL"/>
        </w:rPr>
        <w:t xml:space="preserve"> jest uniknięcie ogłoszenia upadłości dłużnika </w:t>
      </w:r>
      <w:r w:rsidR="009C1B26" w:rsidRPr="00DF5D5B">
        <w:rPr>
          <w:rFonts w:ascii="Times New Roman" w:eastAsia="Times New Roman" w:hAnsi="Times New Roman" w:cs="Times New Roman"/>
          <w:b/>
          <w:bCs/>
          <w:sz w:val="24"/>
          <w:szCs w:val="24"/>
          <w:lang w:eastAsia="pl-PL"/>
        </w:rPr>
        <w:t xml:space="preserve">przez umożliwienie mu restrukturyzacji w drodze zawarcia układu z wierzycielami, </w:t>
      </w:r>
      <w:r w:rsidR="009C1B26" w:rsidRPr="009C1B26">
        <w:rPr>
          <w:rFonts w:ascii="Times New Roman" w:eastAsia="Times New Roman" w:hAnsi="Times New Roman" w:cs="Times New Roman"/>
          <w:sz w:val="24"/>
          <w:szCs w:val="24"/>
          <w:lang w:eastAsia="pl-PL"/>
        </w:rPr>
        <w:t>a w przypadku postępowania sanacyjnego – również przez przeprowadzenie działań sanacyjnych, przy zabezpieczeniu słusznych praw wierzycieli.</w:t>
      </w:r>
    </w:p>
    <w:p w14:paraId="79862BC8" w14:textId="22377775" w:rsidR="00DF5D5B" w:rsidRDefault="00DF5D5B" w:rsidP="00DF5D5B">
      <w:pPr>
        <w:tabs>
          <w:tab w:val="left" w:pos="0"/>
          <w:tab w:val="left" w:pos="709"/>
        </w:tabs>
        <w:spacing w:after="0" w:line="360" w:lineRule="auto"/>
        <w:ind w:right="-1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t xml:space="preserve">Restrukturyzacja zobowiązań dłużnika </w:t>
      </w:r>
      <w:r w:rsidRPr="001E3647">
        <w:rPr>
          <w:rFonts w:ascii="Times New Roman" w:eastAsia="Times New Roman" w:hAnsi="Times New Roman" w:cs="Times New Roman"/>
          <w:sz w:val="24"/>
          <w:szCs w:val="24"/>
          <w:lang w:eastAsia="pl-PL"/>
        </w:rPr>
        <w:t>niewypłacalnego lub zagrożonego niewypłacalnością</w:t>
      </w:r>
      <w:r>
        <w:rPr>
          <w:rFonts w:ascii="Times New Roman" w:eastAsia="Times New Roman" w:hAnsi="Times New Roman" w:cs="Times New Roman"/>
          <w:sz w:val="24"/>
          <w:szCs w:val="24"/>
          <w:lang w:eastAsia="pl-PL"/>
        </w:rPr>
        <w:t xml:space="preserve"> – </w:t>
      </w:r>
      <w:r w:rsidRPr="00DF5D5B">
        <w:rPr>
          <w:rFonts w:ascii="Times New Roman" w:eastAsia="Times New Roman" w:hAnsi="Times New Roman" w:cs="Times New Roman"/>
          <w:b/>
          <w:bCs/>
          <w:sz w:val="24"/>
          <w:szCs w:val="24"/>
          <w:lang w:eastAsia="pl-PL"/>
        </w:rPr>
        <w:t>poprzez zawarcie układu z wierzycielami</w:t>
      </w:r>
      <w:r>
        <w:rPr>
          <w:rFonts w:ascii="Times New Roman" w:eastAsia="Times New Roman" w:hAnsi="Times New Roman" w:cs="Times New Roman"/>
          <w:sz w:val="24"/>
          <w:szCs w:val="24"/>
          <w:lang w:eastAsia="pl-PL"/>
        </w:rPr>
        <w:t xml:space="preserve"> jest zatem w</w:t>
      </w:r>
      <w:r w:rsidR="001E3647" w:rsidRPr="00F141CE">
        <w:rPr>
          <w:rFonts w:ascii="Times New Roman" w:eastAsia="Times New Roman" w:hAnsi="Times New Roman" w:cs="Times New Roman"/>
          <w:sz w:val="24"/>
          <w:szCs w:val="24"/>
          <w:lang w:eastAsia="pl-PL"/>
        </w:rPr>
        <w:t xml:space="preserve">spólną cechą </w:t>
      </w:r>
      <w:r>
        <w:rPr>
          <w:rFonts w:ascii="Times New Roman" w:eastAsia="Times New Roman" w:hAnsi="Times New Roman" w:cs="Times New Roman"/>
          <w:sz w:val="24"/>
          <w:szCs w:val="24"/>
          <w:lang w:eastAsia="pl-PL"/>
        </w:rPr>
        <w:t xml:space="preserve">i najważniejszym celem wszystkich </w:t>
      </w:r>
      <w:r w:rsidR="001E3647" w:rsidRPr="00F141CE">
        <w:rPr>
          <w:rFonts w:ascii="Times New Roman" w:eastAsia="Times New Roman" w:hAnsi="Times New Roman" w:cs="Times New Roman"/>
          <w:sz w:val="24"/>
          <w:szCs w:val="24"/>
          <w:lang w:eastAsia="pl-PL"/>
        </w:rPr>
        <w:t>postępowań</w:t>
      </w:r>
      <w:r>
        <w:rPr>
          <w:rFonts w:ascii="Times New Roman" w:eastAsia="Times New Roman" w:hAnsi="Times New Roman" w:cs="Times New Roman"/>
          <w:sz w:val="24"/>
          <w:szCs w:val="24"/>
          <w:lang w:eastAsia="pl-PL"/>
        </w:rPr>
        <w:t xml:space="preserve"> restrukturyzacyjnych.</w:t>
      </w:r>
      <w:r w:rsidR="001E3647" w:rsidRPr="00F141C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ramach tych postepowań – zwłaszcza w ramach postępowania sanacyjnego może (a w postępowaniu sanacyjnym powinna) nastąpić również dalsza restrukturyzacja</w:t>
      </w:r>
      <w:r w:rsidR="001E3647" w:rsidRPr="00F141CE">
        <w:rPr>
          <w:rFonts w:ascii="Times New Roman" w:eastAsia="Times New Roman" w:hAnsi="Times New Roman" w:cs="Times New Roman"/>
          <w:sz w:val="24"/>
          <w:szCs w:val="24"/>
          <w:lang w:eastAsia="pl-PL"/>
        </w:rPr>
        <w:t xml:space="preserve"> przedsiębiorstwa dłużnika – jego majątku, sposobu zarządzania przedsiębiorstwem oraz zatrudnienia. </w:t>
      </w:r>
      <w:r>
        <w:rPr>
          <w:rFonts w:ascii="Times New Roman" w:eastAsia="Times New Roman" w:hAnsi="Times New Roman" w:cs="Times New Roman"/>
          <w:sz w:val="24"/>
          <w:szCs w:val="24"/>
          <w:lang w:eastAsia="pl-PL"/>
        </w:rPr>
        <w:t xml:space="preserve">Niemniej w każdym z tych postępowań celem podstawowym jest doprowadzenie do zawarcia układu z wierzycielami, a w postępowaniu o zatwierdzenie układu, przyspieszonym postępowaniu układowym i postępowaniu układowym, w praktyce restrukturyzacja przedsiębiorstwa dłużnika może się do zawarcia układu (i tym samym restrukturyzacji jego zobowiązań) ograniczyć (tylko w post. sanacyjnym konieczne przeprowadzenie działań sanacyjnych). </w:t>
      </w:r>
    </w:p>
    <w:p w14:paraId="04171EEB" w14:textId="4623929D" w:rsidR="008352C1" w:rsidRDefault="00DF5D5B" w:rsidP="00DF5D5B">
      <w:pPr>
        <w:tabs>
          <w:tab w:val="left" w:pos="0"/>
          <w:tab w:val="left" w:pos="709"/>
        </w:tabs>
        <w:spacing w:after="0" w:line="360" w:lineRule="auto"/>
        <w:ind w:right="-1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008352C1" w:rsidRPr="00037BFA">
        <w:rPr>
          <w:rFonts w:ascii="Times New Roman" w:eastAsia="Times New Roman" w:hAnsi="Times New Roman" w:cs="Times New Roman"/>
          <w:sz w:val="24"/>
          <w:szCs w:val="24"/>
          <w:lang w:eastAsia="pl-PL"/>
        </w:rPr>
        <w:t xml:space="preserve">Do wszystkich postępowań restrukturyzacyjnych mają </w:t>
      </w:r>
      <w:r>
        <w:rPr>
          <w:rFonts w:ascii="Times New Roman" w:eastAsia="Times New Roman" w:hAnsi="Times New Roman" w:cs="Times New Roman"/>
          <w:sz w:val="24"/>
          <w:szCs w:val="24"/>
          <w:lang w:eastAsia="pl-PL"/>
        </w:rPr>
        <w:t xml:space="preserve">przy tym </w:t>
      </w:r>
      <w:r w:rsidR="008352C1" w:rsidRPr="00037BFA">
        <w:rPr>
          <w:rFonts w:ascii="Times New Roman" w:eastAsia="Times New Roman" w:hAnsi="Times New Roman" w:cs="Times New Roman"/>
          <w:sz w:val="24"/>
          <w:szCs w:val="24"/>
          <w:lang w:eastAsia="pl-PL"/>
        </w:rPr>
        <w:t xml:space="preserve">zastosowanie te same regulacje dotyczące zakresu wierzytelności objętych układem, propozycji układowych, zawarcia i zatwierdzenia układu i jego skutków, a także </w:t>
      </w:r>
      <w:r w:rsidR="008352C1" w:rsidRPr="00037BFA">
        <w:rPr>
          <w:rFonts w:ascii="Times New Roman" w:eastAsia="Times New Roman" w:hAnsi="Times New Roman" w:cs="Times New Roman"/>
          <w:bCs/>
          <w:sz w:val="24"/>
          <w:szCs w:val="24"/>
          <w:lang w:eastAsia="pl-PL"/>
        </w:rPr>
        <w:t>zasady zmian</w:t>
      </w:r>
      <w:r w:rsidR="008352C1" w:rsidRPr="00037BFA">
        <w:rPr>
          <w:rFonts w:ascii="Times New Roman" w:eastAsia="Times New Roman" w:hAnsi="Times New Roman" w:cs="Times New Roman"/>
          <w:sz w:val="24"/>
          <w:szCs w:val="24"/>
          <w:lang w:eastAsia="pl-PL"/>
        </w:rPr>
        <w:t xml:space="preserve"> i uchylenia układu. </w:t>
      </w:r>
    </w:p>
    <w:p w14:paraId="3B5405D4" w14:textId="7DC1C638" w:rsidR="001E3647" w:rsidRDefault="001E3647" w:rsidP="001E3647">
      <w:pPr>
        <w:spacing w:after="0" w:line="360" w:lineRule="auto"/>
        <w:jc w:val="both"/>
        <w:rPr>
          <w:rFonts w:ascii="Times New Roman" w:eastAsia="Calibri" w:hAnsi="Times New Roman" w:cs="Times New Roman"/>
          <w:bCs/>
        </w:rPr>
      </w:pPr>
    </w:p>
    <w:p w14:paraId="0DDE3F85" w14:textId="77777777" w:rsidR="001B0065" w:rsidRDefault="001B0065" w:rsidP="001E3647">
      <w:pPr>
        <w:spacing w:after="0" w:line="360" w:lineRule="auto"/>
        <w:jc w:val="both"/>
        <w:rPr>
          <w:rFonts w:ascii="Times New Roman" w:eastAsia="Calibri" w:hAnsi="Times New Roman" w:cs="Times New Roman"/>
          <w:bCs/>
        </w:rPr>
      </w:pPr>
    </w:p>
    <w:p w14:paraId="684DA01B" w14:textId="603F2785" w:rsidR="001E3647" w:rsidRDefault="00195DE3" w:rsidP="00195DE3">
      <w:pPr>
        <w:pStyle w:val="Akapitzlist"/>
        <w:numPr>
          <w:ilvl w:val="0"/>
          <w:numId w:val="3"/>
        </w:numPr>
        <w:spacing w:after="0" w:line="360" w:lineRule="auto"/>
        <w:jc w:val="both"/>
        <w:rPr>
          <w:rFonts w:ascii="Times New Roman" w:eastAsia="Calibri" w:hAnsi="Times New Roman" w:cs="Times New Roman"/>
          <w:b/>
        </w:rPr>
      </w:pPr>
      <w:r>
        <w:rPr>
          <w:rFonts w:ascii="Times New Roman" w:eastAsia="Calibri" w:hAnsi="Times New Roman" w:cs="Times New Roman"/>
          <w:b/>
        </w:rPr>
        <w:lastRenderedPageBreak/>
        <w:t>Zakres układu</w:t>
      </w:r>
    </w:p>
    <w:p w14:paraId="71DBF4A7" w14:textId="3B16ACA2" w:rsidR="00195DE3" w:rsidRPr="00195DE3" w:rsidRDefault="00195DE3" w:rsidP="00195DE3">
      <w:pPr>
        <w:spacing w:after="0" w:line="360" w:lineRule="auto"/>
        <w:jc w:val="both"/>
        <w:rPr>
          <w:rFonts w:ascii="Times New Roman" w:eastAsia="Calibri" w:hAnsi="Times New Roman" w:cs="Times New Roman"/>
          <w:b/>
          <w:sz w:val="24"/>
          <w:szCs w:val="24"/>
        </w:rPr>
      </w:pPr>
    </w:p>
    <w:p w14:paraId="0D9C796F" w14:textId="586952BD" w:rsidR="00195DE3" w:rsidRDefault="00195DE3" w:rsidP="003C76BA">
      <w:pPr>
        <w:spacing w:after="0" w:line="360" w:lineRule="auto"/>
        <w:ind w:firstLine="360"/>
        <w:jc w:val="both"/>
        <w:rPr>
          <w:rFonts w:ascii="Times New Roman" w:eastAsia="Calibri" w:hAnsi="Times New Roman" w:cs="Times New Roman"/>
          <w:bCs/>
          <w:sz w:val="24"/>
          <w:szCs w:val="24"/>
        </w:rPr>
      </w:pPr>
      <w:r w:rsidRPr="00195DE3">
        <w:rPr>
          <w:rFonts w:ascii="Times New Roman" w:eastAsia="Calibri" w:hAnsi="Times New Roman" w:cs="Times New Roman"/>
          <w:bCs/>
          <w:sz w:val="24"/>
          <w:szCs w:val="24"/>
        </w:rPr>
        <w:t>Zakres układu wyznaczają art. 15</w:t>
      </w:r>
      <w:r>
        <w:rPr>
          <w:rFonts w:ascii="Times New Roman" w:eastAsia="Calibri" w:hAnsi="Times New Roman" w:cs="Times New Roman"/>
          <w:bCs/>
          <w:sz w:val="24"/>
          <w:szCs w:val="24"/>
        </w:rPr>
        <w:t>0</w:t>
      </w:r>
      <w:r w:rsidRPr="00195DE3">
        <w:rPr>
          <w:rFonts w:ascii="Times New Roman" w:eastAsia="Calibri" w:hAnsi="Times New Roman" w:cs="Times New Roman"/>
          <w:bCs/>
          <w:sz w:val="24"/>
          <w:szCs w:val="24"/>
        </w:rPr>
        <w:t xml:space="preserve"> i nast. PR</w:t>
      </w:r>
      <w:r>
        <w:rPr>
          <w:rFonts w:ascii="Times New Roman" w:eastAsia="Calibri" w:hAnsi="Times New Roman" w:cs="Times New Roman"/>
          <w:bCs/>
          <w:sz w:val="24"/>
          <w:szCs w:val="24"/>
        </w:rPr>
        <w:t>. W myśl art. 150 ust. 1 PR,  układ obejmuje trzy podstawowe kategorie wierzytelności:</w:t>
      </w:r>
    </w:p>
    <w:p w14:paraId="3AE81DE4" w14:textId="77777777" w:rsidR="003C76BA" w:rsidRDefault="00195DE3" w:rsidP="003C76BA">
      <w:pPr>
        <w:spacing w:after="0" w:line="360" w:lineRule="auto"/>
        <w:ind w:left="284"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1</w:t>
      </w:r>
      <w:r w:rsidRPr="00195DE3">
        <w:rPr>
          <w:rFonts w:ascii="Times New Roman" w:eastAsia="Calibri" w:hAnsi="Times New Roman" w:cs="Times New Roman"/>
          <w:bCs/>
          <w:sz w:val="24"/>
          <w:szCs w:val="24"/>
        </w:rPr>
        <w:t xml:space="preserve">) wierzytelności osobiste powstałe przed dniem otwarcia postępowania restrukturyzacyjnego, jeżeli ustawa nie stanowi inaczej; </w:t>
      </w:r>
    </w:p>
    <w:p w14:paraId="346122FA" w14:textId="77777777" w:rsidR="003C76BA" w:rsidRDefault="00195DE3" w:rsidP="003C76BA">
      <w:pPr>
        <w:spacing w:after="0" w:line="360" w:lineRule="auto"/>
        <w:ind w:left="284" w:hanging="284"/>
        <w:jc w:val="both"/>
        <w:rPr>
          <w:rFonts w:ascii="Times New Roman" w:eastAsia="Calibri" w:hAnsi="Times New Roman" w:cs="Times New Roman"/>
          <w:bCs/>
          <w:sz w:val="24"/>
          <w:szCs w:val="24"/>
        </w:rPr>
      </w:pPr>
      <w:r w:rsidRPr="00195DE3">
        <w:rPr>
          <w:rFonts w:ascii="Times New Roman" w:eastAsia="Calibri" w:hAnsi="Times New Roman" w:cs="Times New Roman"/>
          <w:bCs/>
          <w:sz w:val="24"/>
          <w:szCs w:val="24"/>
        </w:rPr>
        <w:t>2) odsetki za okres od dnia otwarcia postępowania restrukturyzacyjnego;</w:t>
      </w:r>
    </w:p>
    <w:p w14:paraId="4D0B9BD9" w14:textId="75CF7FA7" w:rsidR="00195DE3" w:rsidRPr="00195DE3" w:rsidRDefault="00195DE3" w:rsidP="003C76BA">
      <w:pPr>
        <w:spacing w:after="0" w:line="360" w:lineRule="auto"/>
        <w:ind w:left="284" w:hanging="284"/>
        <w:jc w:val="both"/>
        <w:rPr>
          <w:rFonts w:ascii="Times New Roman" w:eastAsia="Calibri" w:hAnsi="Times New Roman" w:cs="Times New Roman"/>
          <w:bCs/>
          <w:sz w:val="24"/>
          <w:szCs w:val="24"/>
        </w:rPr>
      </w:pPr>
      <w:r w:rsidRPr="00195DE3">
        <w:rPr>
          <w:rFonts w:ascii="Times New Roman" w:eastAsia="Calibri" w:hAnsi="Times New Roman" w:cs="Times New Roman"/>
          <w:bCs/>
          <w:sz w:val="24"/>
          <w:szCs w:val="24"/>
        </w:rPr>
        <w:t xml:space="preserve"> 3) wierzytelności zależne od warunku, jeżeli warunek ziścił się w czasie wykonywania układu.</w:t>
      </w:r>
    </w:p>
    <w:p w14:paraId="09EB99DB" w14:textId="5B97FF7D" w:rsidR="001E3647" w:rsidRDefault="001E3647" w:rsidP="001E3647">
      <w:pPr>
        <w:spacing w:after="0" w:line="360" w:lineRule="auto"/>
        <w:jc w:val="both"/>
        <w:rPr>
          <w:rFonts w:ascii="Times New Roman" w:eastAsia="Calibri" w:hAnsi="Times New Roman" w:cs="Times New Roman"/>
          <w:bCs/>
          <w:sz w:val="24"/>
          <w:szCs w:val="24"/>
        </w:rPr>
      </w:pPr>
    </w:p>
    <w:p w14:paraId="2AA9386B" w14:textId="4277811F" w:rsidR="005C016F" w:rsidRDefault="003C76BA" w:rsidP="001E364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Do układu nie wchodzą zatem </w:t>
      </w:r>
      <w:r w:rsidR="005C016F">
        <w:rPr>
          <w:rFonts w:ascii="Times New Roman" w:eastAsia="Calibri" w:hAnsi="Times New Roman" w:cs="Times New Roman"/>
          <w:bCs/>
          <w:sz w:val="24"/>
          <w:szCs w:val="24"/>
        </w:rPr>
        <w:t>co do zasady wierzytelności powstałe już po dniu otwarcia postępowania restrukturyzacyjnego. Szczególne regulacje nawiązujące do tej kwestii, dotyczące wierzytelności z umów wzajemnych</w:t>
      </w:r>
      <w:r w:rsidR="0065416C">
        <w:rPr>
          <w:rFonts w:ascii="Times New Roman" w:eastAsia="Calibri" w:hAnsi="Times New Roman" w:cs="Times New Roman"/>
          <w:bCs/>
          <w:sz w:val="24"/>
          <w:szCs w:val="24"/>
        </w:rPr>
        <w:t>,</w:t>
      </w:r>
      <w:r w:rsidR="005C016F">
        <w:rPr>
          <w:rFonts w:ascii="Times New Roman" w:eastAsia="Calibri" w:hAnsi="Times New Roman" w:cs="Times New Roman"/>
          <w:bCs/>
          <w:sz w:val="24"/>
          <w:szCs w:val="24"/>
        </w:rPr>
        <w:t xml:space="preserve"> zawiera art. 150 ust. 2 PR, zgodnie z którym w</w:t>
      </w:r>
      <w:r w:rsidR="005C016F" w:rsidRPr="005C016F">
        <w:rPr>
          <w:rFonts w:ascii="Times New Roman" w:eastAsia="Calibri" w:hAnsi="Times New Roman" w:cs="Times New Roman"/>
          <w:bCs/>
          <w:sz w:val="24"/>
          <w:szCs w:val="24"/>
        </w:rPr>
        <w:t>ierzytelności wobec dłużnika wynikające z umowy wzajemnej, która nie została wykonana w całości lub części przed dniem otwarcia postępowania restrukturyzacyjnego, są objęte układem tylko w przypadku, gdy świadczenie drugiej strony jest świadczeniem podzielnym i tylko w zakresie, w jakim druga strona spełniła świadczenie przed dniem otwarcia postępowania restrukturyzacyjnego i nie otrzymała świadczenia wzajemnego</w:t>
      </w:r>
      <w:r w:rsidR="005C016F">
        <w:rPr>
          <w:rFonts w:ascii="Times New Roman" w:eastAsia="Calibri" w:hAnsi="Times New Roman" w:cs="Times New Roman"/>
          <w:bCs/>
          <w:sz w:val="24"/>
          <w:szCs w:val="24"/>
        </w:rPr>
        <w:t>.</w:t>
      </w:r>
    </w:p>
    <w:p w14:paraId="311954A4" w14:textId="44EE8870" w:rsidR="005C016F" w:rsidRDefault="005C016F" w:rsidP="001E364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Dalsze wyłączenia wierzytelności z układu zawierają art. 151 – 154 PR, przy czym wyłączenia te mogą mieć charakter bezwzględny – nie dopuszczając objęcia danej wierzytelności układem nawet za zgodą wierzyciela, </w:t>
      </w:r>
      <w:r w:rsidR="00E01746">
        <w:rPr>
          <w:rFonts w:ascii="Times New Roman" w:eastAsia="Calibri" w:hAnsi="Times New Roman" w:cs="Times New Roman"/>
          <w:bCs/>
          <w:sz w:val="24"/>
          <w:szCs w:val="24"/>
        </w:rPr>
        <w:t>bądź też charakter względny – wierzyciel może wyrazić zgodę na objęcie takiej wierzytelności układem. Milczenie wierzyciela oznacza przy tym zawsze brak zgody, wierzytelność tak nie jest zatem wówczas objęta układem.</w:t>
      </w:r>
    </w:p>
    <w:p w14:paraId="56688ADA" w14:textId="77777777" w:rsidR="00137BC7" w:rsidRDefault="00137BC7" w:rsidP="001E3647">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Na mocy art. 151 ust. 1 PR u</w:t>
      </w:r>
      <w:r w:rsidR="005C016F" w:rsidRPr="005C016F">
        <w:rPr>
          <w:rFonts w:ascii="Times New Roman" w:eastAsia="Calibri" w:hAnsi="Times New Roman" w:cs="Times New Roman"/>
          <w:bCs/>
          <w:sz w:val="24"/>
          <w:szCs w:val="24"/>
        </w:rPr>
        <w:t xml:space="preserve">kład nie obejmuje: </w:t>
      </w:r>
    </w:p>
    <w:p w14:paraId="2E309C93" w14:textId="21BFCEAD" w:rsidR="005C016F" w:rsidRDefault="005C016F" w:rsidP="001B0065">
      <w:pPr>
        <w:spacing w:after="0" w:line="360" w:lineRule="auto"/>
        <w:ind w:left="426" w:hanging="426"/>
        <w:jc w:val="both"/>
        <w:rPr>
          <w:rFonts w:ascii="Times New Roman" w:eastAsia="Calibri" w:hAnsi="Times New Roman" w:cs="Times New Roman"/>
          <w:bCs/>
          <w:sz w:val="24"/>
          <w:szCs w:val="24"/>
        </w:rPr>
      </w:pPr>
      <w:r w:rsidRPr="005C016F">
        <w:rPr>
          <w:rFonts w:ascii="Times New Roman" w:eastAsia="Calibri" w:hAnsi="Times New Roman" w:cs="Times New Roman"/>
          <w:bCs/>
          <w:sz w:val="24"/>
          <w:szCs w:val="24"/>
        </w:rPr>
        <w:t>1) wierzytelności alimentacyjnych oraz rent z tytułu odszkodowania za wywołanie choroby, niezdolności do pracy, kalectwa lub śmierci oraz z tytułu zamiany uprawnień objętych treścią prawa dożywocia na dożywotnią rentę;</w:t>
      </w:r>
    </w:p>
    <w:p w14:paraId="3B7F1116" w14:textId="77777777" w:rsidR="00137BC7" w:rsidRDefault="005C016F" w:rsidP="001B0065">
      <w:pPr>
        <w:spacing w:after="0" w:line="360" w:lineRule="auto"/>
        <w:ind w:left="426" w:hanging="426"/>
        <w:jc w:val="both"/>
        <w:rPr>
          <w:rFonts w:ascii="Times New Roman" w:eastAsia="Calibri" w:hAnsi="Times New Roman" w:cs="Times New Roman"/>
          <w:bCs/>
          <w:sz w:val="24"/>
          <w:szCs w:val="24"/>
        </w:rPr>
      </w:pPr>
      <w:r w:rsidRPr="005C016F">
        <w:rPr>
          <w:rFonts w:ascii="Times New Roman" w:eastAsia="Calibri" w:hAnsi="Times New Roman" w:cs="Times New Roman"/>
          <w:bCs/>
          <w:sz w:val="24"/>
          <w:szCs w:val="24"/>
        </w:rPr>
        <w:t xml:space="preserve">2) roszczeń o wydanie mienia i zaniechanie naruszania praw; </w:t>
      </w:r>
    </w:p>
    <w:p w14:paraId="0FD41036" w14:textId="77777777" w:rsidR="00137BC7" w:rsidRDefault="005C016F" w:rsidP="001B0065">
      <w:pPr>
        <w:spacing w:after="0" w:line="360" w:lineRule="auto"/>
        <w:ind w:left="426" w:hanging="426"/>
        <w:jc w:val="both"/>
        <w:rPr>
          <w:rFonts w:ascii="Times New Roman" w:eastAsia="Calibri" w:hAnsi="Times New Roman" w:cs="Times New Roman"/>
          <w:bCs/>
          <w:sz w:val="24"/>
          <w:szCs w:val="24"/>
        </w:rPr>
      </w:pPr>
      <w:r w:rsidRPr="005C016F">
        <w:rPr>
          <w:rFonts w:ascii="Times New Roman" w:eastAsia="Calibri" w:hAnsi="Times New Roman" w:cs="Times New Roman"/>
          <w:bCs/>
          <w:sz w:val="24"/>
          <w:szCs w:val="24"/>
        </w:rPr>
        <w:t xml:space="preserve">3) wierzytelności, za które dłużnik odpowiada w związku z nabyciem spadku po dniu otwarcia postępowania restrukturyzacyjnego, po wejściu spadku do masy układowej lub sanacyjnej; </w:t>
      </w:r>
    </w:p>
    <w:p w14:paraId="396EBE9A" w14:textId="2EBEB8DD" w:rsidR="005C016F" w:rsidRDefault="00137BC7" w:rsidP="00137BC7">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Niedopuszczalne jest także o</w:t>
      </w:r>
      <w:r w:rsidR="005C016F" w:rsidRPr="005C016F">
        <w:rPr>
          <w:rFonts w:ascii="Times New Roman" w:eastAsia="Calibri" w:hAnsi="Times New Roman" w:cs="Times New Roman"/>
          <w:bCs/>
          <w:sz w:val="24"/>
          <w:szCs w:val="24"/>
        </w:rPr>
        <w:t xml:space="preserve">bjęcie układem wierzytelności objętej innym </w:t>
      </w:r>
      <w:r w:rsidR="001B0065">
        <w:rPr>
          <w:rFonts w:ascii="Times New Roman" w:eastAsia="Calibri" w:hAnsi="Times New Roman" w:cs="Times New Roman"/>
          <w:bCs/>
          <w:sz w:val="24"/>
          <w:szCs w:val="24"/>
        </w:rPr>
        <w:t xml:space="preserve">układem, </w:t>
      </w:r>
      <w:r w:rsidR="005C016F" w:rsidRPr="005C016F">
        <w:rPr>
          <w:rFonts w:ascii="Times New Roman" w:eastAsia="Calibri" w:hAnsi="Times New Roman" w:cs="Times New Roman"/>
          <w:bCs/>
          <w:sz w:val="24"/>
          <w:szCs w:val="24"/>
        </w:rPr>
        <w:t>chyba że układ ten został uchylony</w:t>
      </w:r>
      <w:r w:rsidR="0065416C">
        <w:rPr>
          <w:rFonts w:ascii="Times New Roman" w:eastAsia="Calibri" w:hAnsi="Times New Roman" w:cs="Times New Roman"/>
          <w:bCs/>
          <w:sz w:val="24"/>
          <w:szCs w:val="24"/>
        </w:rPr>
        <w:t xml:space="preserve"> (art. 152 PR).</w:t>
      </w:r>
    </w:p>
    <w:p w14:paraId="7D96C591" w14:textId="3DCB777D" w:rsidR="00137BC7" w:rsidRDefault="00137BC7" w:rsidP="00137BC7">
      <w:pPr>
        <w:spacing w:after="0" w:line="360" w:lineRule="auto"/>
        <w:ind w:firstLine="708"/>
        <w:jc w:val="both"/>
        <w:rPr>
          <w:rFonts w:ascii="Times New Roman" w:eastAsia="Calibri" w:hAnsi="Times New Roman" w:cs="Times New Roman"/>
          <w:bCs/>
          <w:sz w:val="24"/>
          <w:szCs w:val="24"/>
        </w:rPr>
      </w:pPr>
      <w:r>
        <w:rPr>
          <w:rFonts w:ascii="Times New Roman" w:eastAsia="Calibri" w:hAnsi="Times New Roman" w:cs="Times New Roman"/>
          <w:bCs/>
          <w:sz w:val="24"/>
          <w:szCs w:val="24"/>
        </w:rPr>
        <w:t>Z kolei do wierzytelności, które mogą zostać objęte układem jedynie za zgodą wierzyciela, należą:</w:t>
      </w:r>
    </w:p>
    <w:p w14:paraId="09063413" w14:textId="6FD22F06" w:rsidR="00137BC7" w:rsidRPr="00137BC7" w:rsidRDefault="00137BC7" w:rsidP="001B0065">
      <w:pPr>
        <w:pStyle w:val="Akapitzlist"/>
        <w:numPr>
          <w:ilvl w:val="0"/>
          <w:numId w:val="4"/>
        </w:numPr>
        <w:spacing w:after="0" w:line="360" w:lineRule="auto"/>
        <w:ind w:left="426" w:hanging="426"/>
        <w:jc w:val="both"/>
        <w:rPr>
          <w:rFonts w:ascii="Times New Roman" w:eastAsia="Calibri" w:hAnsi="Times New Roman" w:cs="Times New Roman"/>
          <w:bCs/>
          <w:sz w:val="24"/>
          <w:szCs w:val="24"/>
        </w:rPr>
      </w:pPr>
      <w:r w:rsidRPr="00FD1300">
        <w:rPr>
          <w:rFonts w:ascii="Times New Roman" w:eastAsia="Calibri" w:hAnsi="Times New Roman" w:cs="Times New Roman"/>
          <w:sz w:val="24"/>
          <w:szCs w:val="24"/>
        </w:rPr>
        <w:t>wierzytelności ze stosunku pracy</w:t>
      </w:r>
      <w:r>
        <w:rPr>
          <w:rFonts w:ascii="Times New Roman" w:eastAsia="Calibri" w:hAnsi="Times New Roman" w:cs="Times New Roman"/>
          <w:sz w:val="24"/>
          <w:szCs w:val="24"/>
        </w:rPr>
        <w:t xml:space="preserve">, </w:t>
      </w:r>
    </w:p>
    <w:p w14:paraId="41B3BF2A" w14:textId="4FBDE708" w:rsidR="00137BC7" w:rsidRPr="00137BC7" w:rsidRDefault="00137BC7" w:rsidP="001B0065">
      <w:pPr>
        <w:pStyle w:val="Akapitzlist"/>
        <w:numPr>
          <w:ilvl w:val="0"/>
          <w:numId w:val="4"/>
        </w:numPr>
        <w:spacing w:after="0" w:line="360" w:lineRule="auto"/>
        <w:ind w:left="426" w:hanging="426"/>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wi</w:t>
      </w:r>
      <w:r w:rsidRPr="00FD1300">
        <w:rPr>
          <w:rFonts w:ascii="Times New Roman" w:eastAsia="Calibri" w:hAnsi="Times New Roman" w:cs="Times New Roman"/>
          <w:sz w:val="24"/>
          <w:szCs w:val="24"/>
        </w:rPr>
        <w:t xml:space="preserve">erzytelności zabezpieczonej na mieniu dłużnika hipoteką, zastawem, zastawem rejestrowym, zastawem skarbowym lub hipoteką morską, w części znajdującej pokrycie w wartości przedmiotu zabezpieczenia, </w:t>
      </w:r>
    </w:p>
    <w:p w14:paraId="2B202781" w14:textId="5853B829" w:rsidR="005C016F" w:rsidRDefault="00E01746" w:rsidP="001B0065">
      <w:pPr>
        <w:pStyle w:val="Akapitzlist"/>
        <w:numPr>
          <w:ilvl w:val="0"/>
          <w:numId w:val="4"/>
        </w:numPr>
        <w:spacing w:after="0" w:line="360" w:lineRule="auto"/>
        <w:ind w:left="426" w:hanging="426"/>
        <w:jc w:val="both"/>
        <w:rPr>
          <w:rFonts w:ascii="Times New Roman" w:eastAsia="Calibri" w:hAnsi="Times New Roman" w:cs="Times New Roman"/>
          <w:bCs/>
          <w:sz w:val="24"/>
          <w:szCs w:val="24"/>
        </w:rPr>
      </w:pPr>
      <w:r w:rsidRPr="00137BC7">
        <w:rPr>
          <w:rFonts w:ascii="Times New Roman" w:eastAsia="Calibri" w:hAnsi="Times New Roman" w:cs="Times New Roman"/>
          <w:bCs/>
          <w:sz w:val="24"/>
          <w:szCs w:val="24"/>
        </w:rPr>
        <w:t xml:space="preserve">wierzytelności Funduszu Gwarantowanych Świadczeń Pracowniczych o zwrot świadczeń wypłaconych pracownikom dłużnika </w:t>
      </w:r>
      <w:r w:rsidR="00137BC7">
        <w:rPr>
          <w:rFonts w:ascii="Times New Roman" w:eastAsia="Calibri" w:hAnsi="Times New Roman" w:cs="Times New Roman"/>
          <w:bCs/>
          <w:sz w:val="24"/>
          <w:szCs w:val="24"/>
        </w:rPr>
        <w:t>(art. 153 PR)</w:t>
      </w:r>
    </w:p>
    <w:p w14:paraId="1ECCDE14" w14:textId="66943A26" w:rsidR="00137BC7" w:rsidRPr="00137BC7" w:rsidRDefault="00137BC7" w:rsidP="001B0065">
      <w:pPr>
        <w:pStyle w:val="Akapitzlist"/>
        <w:numPr>
          <w:ilvl w:val="0"/>
          <w:numId w:val="4"/>
        </w:numPr>
        <w:spacing w:after="0" w:line="360" w:lineRule="auto"/>
        <w:ind w:left="426" w:hanging="426"/>
        <w:jc w:val="both"/>
        <w:rPr>
          <w:rFonts w:ascii="Times New Roman" w:eastAsia="Calibri" w:hAnsi="Times New Roman" w:cs="Times New Roman"/>
          <w:bCs/>
          <w:sz w:val="24"/>
          <w:szCs w:val="24"/>
        </w:rPr>
      </w:pPr>
      <w:r w:rsidRPr="00137BC7">
        <w:rPr>
          <w:rFonts w:ascii="Times New Roman" w:eastAsia="Calibri" w:hAnsi="Times New Roman" w:cs="Times New Roman"/>
          <w:bCs/>
          <w:sz w:val="24"/>
          <w:szCs w:val="24"/>
        </w:rPr>
        <w:t>wierzytelności zabezpieczon</w:t>
      </w:r>
      <w:r>
        <w:rPr>
          <w:rFonts w:ascii="Times New Roman" w:eastAsia="Calibri" w:hAnsi="Times New Roman" w:cs="Times New Roman"/>
          <w:bCs/>
          <w:sz w:val="24"/>
          <w:szCs w:val="24"/>
        </w:rPr>
        <w:t>e</w:t>
      </w:r>
      <w:r w:rsidRPr="00137BC7">
        <w:rPr>
          <w:rFonts w:ascii="Times New Roman" w:eastAsia="Calibri" w:hAnsi="Times New Roman" w:cs="Times New Roman"/>
          <w:bCs/>
          <w:sz w:val="24"/>
          <w:szCs w:val="24"/>
        </w:rPr>
        <w:t xml:space="preserve"> przeniesieniem na wierzyciela własności rzeczy, wierzytelności lub innego prawa</w:t>
      </w:r>
      <w:r>
        <w:rPr>
          <w:rFonts w:ascii="Times New Roman" w:eastAsia="Calibri" w:hAnsi="Times New Roman" w:cs="Times New Roman"/>
          <w:bCs/>
          <w:sz w:val="24"/>
          <w:szCs w:val="24"/>
        </w:rPr>
        <w:t xml:space="preserve"> (151 ust. 3 PR).</w:t>
      </w:r>
    </w:p>
    <w:p w14:paraId="3FA31C3B" w14:textId="77777777" w:rsidR="00137BC7" w:rsidRDefault="00137BC7" w:rsidP="00137BC7">
      <w:pPr>
        <w:spacing w:after="0" w:line="360" w:lineRule="auto"/>
        <w:jc w:val="both"/>
        <w:rPr>
          <w:rFonts w:ascii="Times New Roman" w:eastAsia="Calibri" w:hAnsi="Times New Roman" w:cs="Times New Roman"/>
          <w:bCs/>
          <w:sz w:val="24"/>
          <w:szCs w:val="24"/>
        </w:rPr>
      </w:pPr>
    </w:p>
    <w:p w14:paraId="779D3B25" w14:textId="0B4A96A4" w:rsidR="00FD1300" w:rsidRDefault="00FD1300" w:rsidP="00137BC7">
      <w:pPr>
        <w:spacing w:after="0" w:line="360" w:lineRule="auto"/>
        <w:ind w:firstLine="708"/>
        <w:jc w:val="both"/>
        <w:rPr>
          <w:rFonts w:ascii="Times New Roman" w:eastAsia="Calibri" w:hAnsi="Times New Roman" w:cs="Times New Roman"/>
          <w:sz w:val="24"/>
          <w:szCs w:val="24"/>
        </w:rPr>
      </w:pPr>
      <w:r w:rsidRPr="00FD1300">
        <w:rPr>
          <w:rFonts w:ascii="Times New Roman" w:eastAsia="Calibri" w:hAnsi="Times New Roman" w:cs="Times New Roman"/>
          <w:sz w:val="24"/>
          <w:szCs w:val="24"/>
        </w:rPr>
        <w:t xml:space="preserve">Zgodę na objęcie wierzytelności układem wyraża się w sposób bezwarunkowy i nieodwołalny, najpóźniej przed przystąpieniem do głosowania nad układem. Zgoda może zostać wyrażona ustnie do protokołu zgromadzenia wierzycieli. </w:t>
      </w:r>
    </w:p>
    <w:p w14:paraId="4781BC36" w14:textId="7EAB3D6A" w:rsidR="00FB0DE4" w:rsidRDefault="00FB0DE4" w:rsidP="00137BC7">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Zaznaczyć należy, że dokonywana w ramach układu r</w:t>
      </w:r>
      <w:r w:rsidRPr="00FB0DE4">
        <w:rPr>
          <w:rFonts w:ascii="Times New Roman" w:eastAsia="Calibri" w:hAnsi="Times New Roman" w:cs="Times New Roman"/>
          <w:sz w:val="24"/>
          <w:szCs w:val="24"/>
        </w:rPr>
        <w:t>estrukturyzacja dotyczy w równym stopniu zobowiązań pieniężnych i niepieniężnych. Jeżeli wierzyciel w terminie tygodnia od dnia otrzymania zawiadomienia o terminie zgromadzenia wierzycieli z odpisem propozycji układowych sprzeciwił się restrukturyzacji swojej wierzytelności jako wierzytelności niepieniężnej, składając oświadczenie nadzorcy albo zarządcy albo ze względu na charakter wierzytelności niepieniężnej restrukturyzacja nie jest możliwa, wierzytelność ta zmienia się w wierzytelność pieniężną. Skutek ten powstaje z dniem otwarcia postępowania</w:t>
      </w:r>
    </w:p>
    <w:p w14:paraId="74961D00" w14:textId="77777777" w:rsidR="008B2CA6" w:rsidRDefault="008B2CA6" w:rsidP="001E3647">
      <w:pPr>
        <w:spacing w:after="0" w:line="360" w:lineRule="auto"/>
        <w:jc w:val="both"/>
        <w:rPr>
          <w:rFonts w:ascii="Times New Roman" w:eastAsia="Calibri" w:hAnsi="Times New Roman" w:cs="Times New Roman"/>
          <w:sz w:val="24"/>
          <w:szCs w:val="24"/>
        </w:rPr>
      </w:pPr>
    </w:p>
    <w:p w14:paraId="75A91971" w14:textId="3DE380A9" w:rsidR="00B6428A" w:rsidRDefault="00B6428A" w:rsidP="00B6428A">
      <w:pPr>
        <w:pStyle w:val="Akapitzlist"/>
        <w:numPr>
          <w:ilvl w:val="0"/>
          <w:numId w:val="3"/>
        </w:numPr>
        <w:spacing w:after="0" w:line="360" w:lineRule="auto"/>
        <w:jc w:val="both"/>
        <w:rPr>
          <w:rFonts w:ascii="Times New Roman" w:eastAsia="Calibri" w:hAnsi="Times New Roman" w:cs="Times New Roman"/>
          <w:b/>
          <w:bCs/>
          <w:sz w:val="24"/>
          <w:szCs w:val="24"/>
        </w:rPr>
      </w:pPr>
      <w:r w:rsidRPr="00B6428A">
        <w:rPr>
          <w:rFonts w:ascii="Times New Roman" w:eastAsia="Calibri" w:hAnsi="Times New Roman" w:cs="Times New Roman"/>
          <w:b/>
          <w:bCs/>
          <w:sz w:val="24"/>
          <w:szCs w:val="24"/>
        </w:rPr>
        <w:t>Propozycje układowe i restrukturyzacja zobowiązań dłużnika</w:t>
      </w:r>
    </w:p>
    <w:p w14:paraId="5BCBB061" w14:textId="210B3999" w:rsidR="008B2CA6" w:rsidRDefault="008B2CA6" w:rsidP="008B2CA6">
      <w:pPr>
        <w:spacing w:after="0" w:line="360" w:lineRule="auto"/>
        <w:jc w:val="both"/>
        <w:rPr>
          <w:rFonts w:ascii="Times New Roman" w:eastAsia="Calibri" w:hAnsi="Times New Roman" w:cs="Times New Roman"/>
          <w:b/>
          <w:bCs/>
          <w:sz w:val="24"/>
          <w:szCs w:val="24"/>
        </w:rPr>
      </w:pPr>
    </w:p>
    <w:p w14:paraId="46AD547C" w14:textId="1A84B385" w:rsidR="008B2CA6" w:rsidRDefault="00847B61" w:rsidP="00847B61">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Kluczową rolę dla kwestii przyjęcia układu odgrywają skierowane do wierzycieli uczestniczących w postępowaniu restrukturyzacyjnym tzw. </w:t>
      </w:r>
      <w:r w:rsidR="001B0065">
        <w:rPr>
          <w:rFonts w:ascii="Times New Roman" w:eastAsia="Calibri" w:hAnsi="Times New Roman" w:cs="Times New Roman"/>
          <w:sz w:val="24"/>
          <w:szCs w:val="24"/>
        </w:rPr>
        <w:t>p</w:t>
      </w:r>
      <w:r>
        <w:rPr>
          <w:rFonts w:ascii="Times New Roman" w:eastAsia="Calibri" w:hAnsi="Times New Roman" w:cs="Times New Roman"/>
          <w:sz w:val="24"/>
          <w:szCs w:val="24"/>
        </w:rPr>
        <w:t xml:space="preserve">ropozycje układowe, </w:t>
      </w:r>
      <w:r w:rsidRPr="008B2CA6">
        <w:rPr>
          <w:rFonts w:ascii="Times New Roman" w:eastAsia="Calibri" w:hAnsi="Times New Roman" w:cs="Times New Roman"/>
          <w:sz w:val="24"/>
          <w:szCs w:val="24"/>
        </w:rPr>
        <w:t>określają</w:t>
      </w:r>
      <w:r>
        <w:rPr>
          <w:rFonts w:ascii="Times New Roman" w:eastAsia="Calibri" w:hAnsi="Times New Roman" w:cs="Times New Roman"/>
          <w:sz w:val="24"/>
          <w:szCs w:val="24"/>
        </w:rPr>
        <w:t>ce</w:t>
      </w:r>
      <w:r w:rsidRPr="008B2CA6">
        <w:rPr>
          <w:rFonts w:ascii="Times New Roman" w:eastAsia="Calibri" w:hAnsi="Times New Roman" w:cs="Times New Roman"/>
          <w:sz w:val="24"/>
          <w:szCs w:val="24"/>
        </w:rPr>
        <w:t xml:space="preserve"> sposób restrukturyzacji zobowiązań dłużnika.</w:t>
      </w:r>
      <w:r>
        <w:rPr>
          <w:rFonts w:ascii="Times New Roman" w:eastAsia="Calibri" w:hAnsi="Times New Roman" w:cs="Times New Roman"/>
          <w:sz w:val="24"/>
          <w:szCs w:val="24"/>
        </w:rPr>
        <w:t xml:space="preserve"> </w:t>
      </w:r>
      <w:r w:rsidR="008B2CA6" w:rsidRPr="008B2CA6">
        <w:rPr>
          <w:rFonts w:ascii="Times New Roman" w:eastAsia="Calibri" w:hAnsi="Times New Roman" w:cs="Times New Roman"/>
          <w:sz w:val="24"/>
          <w:szCs w:val="24"/>
        </w:rPr>
        <w:t xml:space="preserve">Propozycje układowe składa </w:t>
      </w:r>
      <w:r>
        <w:rPr>
          <w:rFonts w:ascii="Times New Roman" w:eastAsia="Calibri" w:hAnsi="Times New Roman" w:cs="Times New Roman"/>
          <w:sz w:val="24"/>
          <w:szCs w:val="24"/>
        </w:rPr>
        <w:t xml:space="preserve">co do zasady </w:t>
      </w:r>
      <w:r w:rsidR="008B2CA6" w:rsidRPr="008B2CA6">
        <w:rPr>
          <w:rFonts w:ascii="Times New Roman" w:eastAsia="Calibri" w:hAnsi="Times New Roman" w:cs="Times New Roman"/>
          <w:sz w:val="24"/>
          <w:szCs w:val="24"/>
        </w:rPr>
        <w:t>dłużnik</w:t>
      </w:r>
      <w:r>
        <w:rPr>
          <w:rFonts w:ascii="Times New Roman" w:eastAsia="Calibri" w:hAnsi="Times New Roman" w:cs="Times New Roman"/>
          <w:sz w:val="24"/>
          <w:szCs w:val="24"/>
        </w:rPr>
        <w:t>, ale może je również</w:t>
      </w:r>
      <w:r w:rsidR="008B2CA6" w:rsidRPr="008B2CA6">
        <w:rPr>
          <w:rFonts w:ascii="Times New Roman" w:eastAsia="Calibri" w:hAnsi="Times New Roman" w:cs="Times New Roman"/>
          <w:sz w:val="24"/>
          <w:szCs w:val="24"/>
        </w:rPr>
        <w:t xml:space="preserve"> złożyć rada wierzycieli, nadzorca sądowy albo zarządca, albo wierzyciel lub wierzyciele mający łącznie więcej niż 30% sumy wierzytelności, z wyłączeniem wierzycieli określonych w art. 80 ust. 3, art. 109 ust. 1 i art. 116</w:t>
      </w:r>
      <w:r>
        <w:rPr>
          <w:rFonts w:ascii="Times New Roman" w:eastAsia="Calibri" w:hAnsi="Times New Roman" w:cs="Times New Roman"/>
          <w:sz w:val="24"/>
          <w:szCs w:val="24"/>
        </w:rPr>
        <w:t xml:space="preserve"> PR.</w:t>
      </w:r>
    </w:p>
    <w:p w14:paraId="5B6FC161" w14:textId="0100594D" w:rsidR="00550826" w:rsidRDefault="00847B61" w:rsidP="00550826">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Określone w propozycjach układowych sposoby restrukturyzacji zobowiązań dłużnika </w:t>
      </w:r>
      <w:r w:rsidR="00550826">
        <w:rPr>
          <w:rFonts w:ascii="Times New Roman" w:eastAsia="Calibri" w:hAnsi="Times New Roman" w:cs="Times New Roman"/>
          <w:sz w:val="24"/>
          <w:szCs w:val="24"/>
        </w:rPr>
        <w:t xml:space="preserve">w myśl art. 156 ust. 1 PR mogą obejmować </w:t>
      </w:r>
      <w:r w:rsidR="008B2CA6" w:rsidRPr="008B2CA6">
        <w:rPr>
          <w:rFonts w:ascii="Times New Roman" w:eastAsia="Calibri" w:hAnsi="Times New Roman" w:cs="Times New Roman"/>
          <w:sz w:val="24"/>
          <w:szCs w:val="24"/>
        </w:rPr>
        <w:t xml:space="preserve">w szczególności: </w:t>
      </w:r>
    </w:p>
    <w:p w14:paraId="482304A7" w14:textId="12E4F643"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1) odroczenie terminu wykonania</w:t>
      </w:r>
      <w:r w:rsidR="00550826">
        <w:rPr>
          <w:rFonts w:ascii="Times New Roman" w:eastAsia="Calibri" w:hAnsi="Times New Roman" w:cs="Times New Roman"/>
          <w:sz w:val="24"/>
          <w:szCs w:val="24"/>
        </w:rPr>
        <w:t xml:space="preserve"> zobowiązań dłużnika</w:t>
      </w:r>
      <w:r w:rsidRPr="008B2CA6">
        <w:rPr>
          <w:rFonts w:ascii="Times New Roman" w:eastAsia="Calibri" w:hAnsi="Times New Roman" w:cs="Times New Roman"/>
          <w:sz w:val="24"/>
          <w:szCs w:val="24"/>
        </w:rPr>
        <w:t>;</w:t>
      </w:r>
    </w:p>
    <w:p w14:paraId="3B1112EA" w14:textId="77777777"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 xml:space="preserve"> 2) rozłożenie spłaty na raty; </w:t>
      </w:r>
    </w:p>
    <w:p w14:paraId="04A673E2" w14:textId="77777777"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3) zmniejszenie wysokości</w:t>
      </w:r>
      <w:r w:rsidR="00550826">
        <w:rPr>
          <w:rFonts w:ascii="Times New Roman" w:eastAsia="Calibri" w:hAnsi="Times New Roman" w:cs="Times New Roman"/>
          <w:sz w:val="24"/>
          <w:szCs w:val="24"/>
        </w:rPr>
        <w:t xml:space="preserve"> zobowiązań (redukcja)</w:t>
      </w:r>
      <w:r w:rsidRPr="008B2CA6">
        <w:rPr>
          <w:rFonts w:ascii="Times New Roman" w:eastAsia="Calibri" w:hAnsi="Times New Roman" w:cs="Times New Roman"/>
          <w:sz w:val="24"/>
          <w:szCs w:val="24"/>
        </w:rPr>
        <w:t>;</w:t>
      </w:r>
    </w:p>
    <w:p w14:paraId="78B0EDB9" w14:textId="77777777"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 xml:space="preserve"> 4) konwersję wierzytelności na udziały lub akcje; </w:t>
      </w:r>
    </w:p>
    <w:p w14:paraId="37A5CA50" w14:textId="3253144E"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5) zmianę, zamianę lub uchylenie prawa zabezpieczającego określoną wierzytelność.</w:t>
      </w:r>
    </w:p>
    <w:p w14:paraId="383EBE37" w14:textId="77777777" w:rsidR="00550826" w:rsidRDefault="00550826" w:rsidP="00550826">
      <w:pPr>
        <w:spacing w:after="0" w:line="360" w:lineRule="auto"/>
        <w:ind w:firstLine="360"/>
        <w:jc w:val="both"/>
        <w:rPr>
          <w:rFonts w:ascii="Times New Roman" w:eastAsia="Calibri" w:hAnsi="Times New Roman" w:cs="Times New Roman"/>
          <w:sz w:val="24"/>
          <w:szCs w:val="24"/>
        </w:rPr>
      </w:pPr>
    </w:p>
    <w:p w14:paraId="052A1928" w14:textId="7E6E785B" w:rsidR="008B2CA6" w:rsidRPr="008B2CA6" w:rsidRDefault="00550826" w:rsidP="00550826">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Użycie przez ustawodawcę zwrotu „w szczególności” wskazuje na dopuszczalność przedstawienia przez dłużnika propozycji układowych przewidujących inne sposoby restrukturyzacji zobowiązań dłużnika. </w:t>
      </w:r>
      <w:r w:rsidR="008B2CA6" w:rsidRPr="008B2CA6">
        <w:rPr>
          <w:rFonts w:ascii="Times New Roman" w:eastAsia="Calibri" w:hAnsi="Times New Roman" w:cs="Times New Roman"/>
          <w:sz w:val="24"/>
          <w:szCs w:val="24"/>
        </w:rPr>
        <w:t>Propozycje układowe mogą wskazywać jeden lub więcej sposobów restrukturyzacji zobowiązań.</w:t>
      </w:r>
      <w:r w:rsidRPr="00550826">
        <w:rPr>
          <w:rFonts w:ascii="Times New Roman" w:eastAsia="Calibri" w:hAnsi="Times New Roman" w:cs="Times New Roman"/>
          <w:sz w:val="24"/>
          <w:szCs w:val="24"/>
        </w:rPr>
        <w:t xml:space="preserve"> </w:t>
      </w:r>
      <w:r w:rsidRPr="008B2CA6">
        <w:rPr>
          <w:rFonts w:ascii="Times New Roman" w:eastAsia="Calibri" w:hAnsi="Times New Roman" w:cs="Times New Roman"/>
          <w:sz w:val="24"/>
          <w:szCs w:val="24"/>
        </w:rPr>
        <w:t>Propozycje układowe mogą przewidywać również zaspokojenie wierzycieli przez likwidację majątku dłużnika</w:t>
      </w:r>
      <w:r>
        <w:rPr>
          <w:rFonts w:ascii="Times New Roman" w:eastAsia="Calibri" w:hAnsi="Times New Roman" w:cs="Times New Roman"/>
          <w:sz w:val="24"/>
          <w:szCs w:val="24"/>
        </w:rPr>
        <w:t>, ale s</w:t>
      </w:r>
      <w:r w:rsidRPr="008B2CA6">
        <w:rPr>
          <w:rFonts w:ascii="Times New Roman" w:eastAsia="Calibri" w:hAnsi="Times New Roman" w:cs="Times New Roman"/>
          <w:sz w:val="24"/>
          <w:szCs w:val="24"/>
        </w:rPr>
        <w:t>przedaż dokonana w wykonaniu układu, który przewiduje zaspokojenie wierzycieli przez likwidację majątku dłużnika, nie wywołuje skutków sprzedaży egzekucyjnej.</w:t>
      </w:r>
    </w:p>
    <w:p w14:paraId="4A83322D" w14:textId="7F5B7C51" w:rsidR="008B2CA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Jeżeli propozycje układowe przewidują spłatę zobowiązań z zysku przedsiębiorstwa dłużnika, mogą one określać, jaka część zysku będzie przeznaczona na spłatę zobowiązań. Jeżeli plan restrukturyzacyjny przewiduje udzielenie kredytu lub pożyczki dłużnikowi lub zmianę treści stosunków prawnych lub praw lub ustanowienie zabezpieczenia wierzytelności, do propozycji układowych dołącza się w formie prawem przewidzianej oświadczenie osoby, która zobowiązała się udzielić kredytu lub pożyczki, wyrazić zgodę na zmianę stosunku prawnego lub prawa albo ustanowić lub zmienić zabezpieczenie wierzytelności.</w:t>
      </w:r>
    </w:p>
    <w:p w14:paraId="32CB5540" w14:textId="23F2FAE2" w:rsidR="00550826" w:rsidRDefault="008B2CA6" w:rsidP="00550826">
      <w:pPr>
        <w:spacing w:after="0" w:line="360" w:lineRule="auto"/>
        <w:ind w:firstLine="360"/>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Propozycje układowe</w:t>
      </w:r>
      <w:r w:rsidR="0065416C">
        <w:rPr>
          <w:rFonts w:ascii="Times New Roman" w:eastAsia="Calibri" w:hAnsi="Times New Roman" w:cs="Times New Roman"/>
          <w:sz w:val="24"/>
          <w:szCs w:val="24"/>
        </w:rPr>
        <w:t>, zgodnie z art. 161 ust. 1 PR</w:t>
      </w:r>
      <w:r w:rsidR="009C1531">
        <w:rPr>
          <w:rFonts w:ascii="Times New Roman" w:eastAsia="Calibri" w:hAnsi="Times New Roman" w:cs="Times New Roman"/>
          <w:sz w:val="24"/>
          <w:szCs w:val="24"/>
        </w:rPr>
        <w:t>,</w:t>
      </w:r>
      <w:r w:rsidRPr="008B2CA6">
        <w:rPr>
          <w:rFonts w:ascii="Times New Roman" w:eastAsia="Calibri" w:hAnsi="Times New Roman" w:cs="Times New Roman"/>
          <w:sz w:val="24"/>
          <w:szCs w:val="24"/>
        </w:rPr>
        <w:t xml:space="preserve"> mogą przewidywać podział wierzycieli na grupy obejmujące poszczególne kategorie interesów, w szczególności: </w:t>
      </w:r>
    </w:p>
    <w:p w14:paraId="318F2C17" w14:textId="77777777" w:rsidR="00550826" w:rsidRDefault="008B2CA6" w:rsidP="004B741A">
      <w:pPr>
        <w:spacing w:after="0" w:line="360" w:lineRule="auto"/>
        <w:ind w:left="426" w:hanging="426"/>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 xml:space="preserve">1) wierzycieli, którym przysługują wierzytelności ze stosunku pracy i którzy wyrazili zgodę na objęcie ich układem; </w:t>
      </w:r>
    </w:p>
    <w:p w14:paraId="48988117" w14:textId="77777777" w:rsidR="00550826" w:rsidRDefault="008B2CA6" w:rsidP="004B741A">
      <w:pPr>
        <w:spacing w:after="0" w:line="360" w:lineRule="auto"/>
        <w:ind w:left="426" w:hanging="426"/>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 xml:space="preserve">2) rolników, którym przysługują wierzytelności z tytułu umów o dostarczenie produktów z własnego gospodarstwa rolnego; </w:t>
      </w:r>
    </w:p>
    <w:p w14:paraId="32BAC3E5" w14:textId="77777777" w:rsidR="00550826" w:rsidRDefault="008B2CA6" w:rsidP="004B741A">
      <w:pPr>
        <w:spacing w:after="0" w:line="360" w:lineRule="auto"/>
        <w:ind w:left="426" w:hanging="426"/>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 xml:space="preserve">3) wierzycieli, których wierzytelności są zabezpieczone na składnikach majątku dłużnika hipoteką, zastawem, zastawem rejestrowym, zastawem skarbowym lub hipoteką morską, a także przez przeniesienie na wierzyciela własności rzeczy, wierzytelności lub innego prawa, i którzy wyrazili zgodę na objęcie ich układem; </w:t>
      </w:r>
    </w:p>
    <w:p w14:paraId="0FB76421" w14:textId="3B8F721D" w:rsidR="008B2CA6" w:rsidRDefault="008B2CA6" w:rsidP="004B741A">
      <w:pPr>
        <w:spacing w:after="0" w:line="360" w:lineRule="auto"/>
        <w:ind w:left="426" w:hanging="426"/>
        <w:jc w:val="both"/>
        <w:rPr>
          <w:rFonts w:ascii="Times New Roman" w:eastAsia="Calibri" w:hAnsi="Times New Roman" w:cs="Times New Roman"/>
          <w:sz w:val="24"/>
          <w:szCs w:val="24"/>
        </w:rPr>
      </w:pPr>
      <w:r w:rsidRPr="008B2CA6">
        <w:rPr>
          <w:rFonts w:ascii="Times New Roman" w:eastAsia="Calibri" w:hAnsi="Times New Roman" w:cs="Times New Roman"/>
          <w:sz w:val="24"/>
          <w:szCs w:val="24"/>
        </w:rPr>
        <w:t>4) wierzycieli będących wspólnikami lub akcjonariuszami dłużnika będącego spółką kapitałową, posiadających udziały lub akcje spółki zapewniające co najmniej 5% głosów na zgromadzeniu wspólników albo walnym zgromadzeniu akcjonariuszy, chociażby przysługiwały im wierzytelności wymienione w pkt 1– 3</w:t>
      </w:r>
    </w:p>
    <w:p w14:paraId="09199D5A" w14:textId="6B7811EE" w:rsidR="009C1531" w:rsidRDefault="009C1531" w:rsidP="004B741A">
      <w:pPr>
        <w:spacing w:after="0" w:line="360" w:lineRule="auto"/>
        <w:ind w:left="426" w:hanging="426"/>
        <w:jc w:val="both"/>
        <w:rPr>
          <w:rFonts w:ascii="Times New Roman" w:eastAsia="Calibri" w:hAnsi="Times New Roman" w:cs="Times New Roman"/>
          <w:sz w:val="24"/>
          <w:szCs w:val="24"/>
        </w:rPr>
      </w:pPr>
      <w:r w:rsidRPr="009C1531">
        <w:rPr>
          <w:rFonts w:ascii="Times New Roman" w:eastAsia="Calibri" w:hAnsi="Times New Roman" w:cs="Times New Roman"/>
          <w:sz w:val="24"/>
          <w:szCs w:val="24"/>
        </w:rPr>
        <w:t>Jeżeli propozycje układowe obejmują wierzycieli zabezpieczonych, to podział na grupy jest obligatoryjny</w:t>
      </w:r>
    </w:p>
    <w:p w14:paraId="7F0A9AFC" w14:textId="3082D66B" w:rsidR="00451BB4" w:rsidRDefault="00451BB4" w:rsidP="004B741A">
      <w:pPr>
        <w:spacing w:after="0" w:line="360" w:lineRule="auto"/>
        <w:ind w:firstLine="360"/>
        <w:jc w:val="both"/>
        <w:rPr>
          <w:rFonts w:ascii="Times New Roman" w:eastAsia="Calibri" w:hAnsi="Times New Roman" w:cs="Times New Roman"/>
          <w:sz w:val="24"/>
          <w:szCs w:val="24"/>
        </w:rPr>
      </w:pPr>
      <w:r w:rsidRPr="00451BB4">
        <w:rPr>
          <w:rFonts w:ascii="Times New Roman" w:eastAsia="Calibri" w:hAnsi="Times New Roman" w:cs="Times New Roman"/>
          <w:sz w:val="24"/>
          <w:szCs w:val="24"/>
        </w:rPr>
        <w:t xml:space="preserve">Listy przyporządkowujące poszczególnych wierzycieli do grup sporządza nadzorca sądowy albo zarządca po zatwierdzeniu spisu wierzytelności, jeżeli podziału na grupy nie dokonano w </w:t>
      </w:r>
      <w:r w:rsidRPr="00451BB4">
        <w:rPr>
          <w:rFonts w:ascii="Times New Roman" w:eastAsia="Calibri" w:hAnsi="Times New Roman" w:cs="Times New Roman"/>
          <w:sz w:val="24"/>
          <w:szCs w:val="24"/>
        </w:rPr>
        <w:lastRenderedPageBreak/>
        <w:t>spisie albo dokonany podział jest niezgodny z aktualnymi propozycjami układowymi. W postępowaniu o zatwierdzenie układu listy wierzycieli sporządza nadzorca układu</w:t>
      </w:r>
    </w:p>
    <w:p w14:paraId="17626BBD" w14:textId="2369DDCF" w:rsidR="00550826" w:rsidRDefault="00550826" w:rsidP="00550826">
      <w:pPr>
        <w:spacing w:after="0" w:line="360" w:lineRule="auto"/>
        <w:ind w:firstLine="360"/>
        <w:jc w:val="both"/>
        <w:rPr>
          <w:rFonts w:ascii="Times New Roman" w:eastAsia="Calibri" w:hAnsi="Times New Roman" w:cs="Times New Roman"/>
          <w:sz w:val="24"/>
          <w:szCs w:val="24"/>
        </w:rPr>
      </w:pPr>
      <w:r w:rsidRPr="00451BB4">
        <w:rPr>
          <w:rFonts w:ascii="Times New Roman" w:eastAsia="Calibri" w:hAnsi="Times New Roman" w:cs="Times New Roman"/>
          <w:sz w:val="24"/>
          <w:szCs w:val="24"/>
        </w:rPr>
        <w:t>Warunki restrukturyzacji zobowiązań dłużnika są jednakowe dla wszystkich wierzycieli, a jeżeli głosowanie nad układem przeprowadza się w grupach wierzycieli, jednakowe dla wierzycieli zaliczonych do tej samej grupy, chyba że wierzyciel wyraźnie zgodzi się na warunki mniej korzystne.</w:t>
      </w:r>
      <w:r>
        <w:rPr>
          <w:rFonts w:ascii="Times New Roman" w:eastAsia="Calibri" w:hAnsi="Times New Roman" w:cs="Times New Roman"/>
          <w:sz w:val="24"/>
          <w:szCs w:val="24"/>
        </w:rPr>
        <w:t xml:space="preserve"> </w:t>
      </w:r>
      <w:r w:rsidRPr="00451BB4">
        <w:rPr>
          <w:rFonts w:ascii="Times New Roman" w:eastAsia="Calibri" w:hAnsi="Times New Roman" w:cs="Times New Roman"/>
          <w:sz w:val="24"/>
          <w:szCs w:val="24"/>
        </w:rPr>
        <w:t>Przyznanie korzystniejszych warunków restrukturyzacji zobowiązań dłużnika jest dopuszczalne wobec wierzyciela, który po otwarciu postępowania restrukturyzacyjnego udzielił lub ma udzielić finansowania w postaci kredytu, obligacji, gwarancji bankowych, akredytyw lub na podstawie innego instrumentu finansowego, niezbędnego do wykonania układu. Warunki restrukturyzacji zobowiązań ze stosunku pracy nie mogą pozbawiać pracowników minimalnego wynagrodzenia za pracę.</w:t>
      </w:r>
    </w:p>
    <w:p w14:paraId="2AB91700" w14:textId="19B42F26" w:rsidR="00451BB4" w:rsidRDefault="00451BB4" w:rsidP="001E3647">
      <w:pPr>
        <w:spacing w:after="0" w:line="360" w:lineRule="auto"/>
        <w:jc w:val="both"/>
        <w:rPr>
          <w:rFonts w:ascii="Times New Roman" w:eastAsia="Calibri" w:hAnsi="Times New Roman" w:cs="Times New Roman"/>
          <w:sz w:val="24"/>
          <w:szCs w:val="24"/>
        </w:rPr>
      </w:pPr>
    </w:p>
    <w:p w14:paraId="3081779B" w14:textId="10DE9EDF" w:rsidR="00451BB4" w:rsidRPr="00451BB4" w:rsidRDefault="00451BB4" w:rsidP="00451BB4">
      <w:pPr>
        <w:pStyle w:val="Akapitzlist"/>
        <w:numPr>
          <w:ilvl w:val="0"/>
          <w:numId w:val="3"/>
        </w:num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Przyjęcie i z</w:t>
      </w:r>
      <w:r w:rsidRPr="00451BB4">
        <w:rPr>
          <w:rFonts w:ascii="Times New Roman" w:eastAsia="Calibri" w:hAnsi="Times New Roman" w:cs="Times New Roman"/>
          <w:b/>
          <w:bCs/>
          <w:sz w:val="24"/>
          <w:szCs w:val="24"/>
        </w:rPr>
        <w:t>atwierdzenie układu</w:t>
      </w:r>
    </w:p>
    <w:p w14:paraId="546C4333" w14:textId="77712813" w:rsidR="00451BB4" w:rsidRDefault="00451BB4" w:rsidP="00844D85">
      <w:pPr>
        <w:spacing w:after="0" w:line="360" w:lineRule="auto"/>
        <w:jc w:val="both"/>
        <w:rPr>
          <w:rFonts w:ascii="Times New Roman" w:eastAsia="Calibri" w:hAnsi="Times New Roman" w:cs="Times New Roman"/>
          <w:sz w:val="24"/>
          <w:szCs w:val="24"/>
        </w:rPr>
      </w:pPr>
    </w:p>
    <w:p w14:paraId="4B1B5FE8" w14:textId="1471D43E" w:rsidR="00550826" w:rsidRDefault="00844D85" w:rsidP="00844D85">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Przyjęcie układu </w:t>
      </w:r>
      <w:r w:rsidR="000C2C68">
        <w:rPr>
          <w:rFonts w:ascii="Times New Roman" w:eastAsia="Calibri" w:hAnsi="Times New Roman" w:cs="Times New Roman"/>
          <w:sz w:val="24"/>
          <w:szCs w:val="24"/>
        </w:rPr>
        <w:t xml:space="preserve">w przyspieszonym postępowaniu układowym, postępowaniu układowym i postępowaniu sanacyjnym </w:t>
      </w:r>
      <w:r>
        <w:rPr>
          <w:rFonts w:ascii="Times New Roman" w:eastAsia="Calibri" w:hAnsi="Times New Roman" w:cs="Times New Roman"/>
          <w:sz w:val="24"/>
          <w:szCs w:val="24"/>
        </w:rPr>
        <w:t xml:space="preserve">następuje poprzez podjęcie stosownej uchwały zgromadzenia wierzycieli. Zgodnie z art. 119 PR ust. 1 </w:t>
      </w:r>
      <w:r w:rsidR="004B741A">
        <w:rPr>
          <w:rFonts w:ascii="Times New Roman" w:eastAsia="Calibri" w:hAnsi="Times New Roman" w:cs="Times New Roman"/>
          <w:sz w:val="24"/>
          <w:szCs w:val="24"/>
        </w:rPr>
        <w:t>u</w:t>
      </w:r>
      <w:r w:rsidRPr="00844D85">
        <w:rPr>
          <w:rFonts w:ascii="Times New Roman" w:eastAsia="Calibri" w:hAnsi="Times New Roman" w:cs="Times New Roman"/>
          <w:sz w:val="24"/>
          <w:szCs w:val="24"/>
        </w:rPr>
        <w:t>chwała zgromadzenia wierzycieli o przyjęciu układu zapada, jeżeli wypowie się za nią większość głosujących wierzycieli, którzy oddali ważny głos, mających łącznie co najmniej dwie trzecie sumy wierzytelności przysługujących głosującym wierzycielom.</w:t>
      </w:r>
      <w:r>
        <w:rPr>
          <w:rFonts w:ascii="Times New Roman" w:eastAsia="Calibri" w:hAnsi="Times New Roman" w:cs="Times New Roman"/>
          <w:sz w:val="24"/>
          <w:szCs w:val="24"/>
        </w:rPr>
        <w:t xml:space="preserve"> </w:t>
      </w:r>
      <w:r w:rsidRPr="00844D85">
        <w:rPr>
          <w:rFonts w:ascii="Times New Roman" w:eastAsia="Calibri" w:hAnsi="Times New Roman" w:cs="Times New Roman"/>
          <w:sz w:val="24"/>
          <w:szCs w:val="24"/>
        </w:rPr>
        <w:t>Jeżeli głosowanie nad układem przeprowadza się w grupach wierzycieli, obejmujących poszczególne kategorie interesów, układ zostaje przyjęty, jeżeli</w:t>
      </w:r>
      <w:r>
        <w:rPr>
          <w:rFonts w:ascii="Times New Roman" w:eastAsia="Calibri" w:hAnsi="Times New Roman" w:cs="Times New Roman"/>
          <w:sz w:val="24"/>
          <w:szCs w:val="24"/>
        </w:rPr>
        <w:t xml:space="preserve"> </w:t>
      </w:r>
      <w:r w:rsidRPr="00844D85">
        <w:rPr>
          <w:rFonts w:ascii="Times New Roman" w:eastAsia="Calibri" w:hAnsi="Times New Roman" w:cs="Times New Roman"/>
          <w:sz w:val="24"/>
          <w:szCs w:val="24"/>
        </w:rPr>
        <w:t>w każdej grupie wypowie się za nim większość głosujących wierzycieli z tej grupy, mających łącznie co najmniej dwie trzecie sumy wierzytelności, przysługujących głosującym wierzycielom z tej grupy</w:t>
      </w:r>
      <w:r>
        <w:rPr>
          <w:rFonts w:ascii="Times New Roman" w:eastAsia="Calibri" w:hAnsi="Times New Roman" w:cs="Times New Roman"/>
          <w:sz w:val="24"/>
          <w:szCs w:val="24"/>
        </w:rPr>
        <w:t>.</w:t>
      </w:r>
      <w:r w:rsidR="00272C2B">
        <w:rPr>
          <w:rFonts w:ascii="Times New Roman" w:eastAsia="Calibri" w:hAnsi="Times New Roman" w:cs="Times New Roman"/>
          <w:sz w:val="24"/>
          <w:szCs w:val="24"/>
        </w:rPr>
        <w:t xml:space="preserve"> </w:t>
      </w:r>
      <w:r w:rsidR="00272C2B" w:rsidRPr="00272C2B">
        <w:rPr>
          <w:rFonts w:ascii="Times New Roman" w:eastAsia="Calibri" w:hAnsi="Times New Roman" w:cs="Times New Roman"/>
          <w:sz w:val="24"/>
          <w:szCs w:val="24"/>
        </w:rPr>
        <w:t>Układ zostaje przyjęty, chociażby nie uzyskał wymaganej większości w niektórych z grup wierzycieli, jeżeli wierzyciele mający łącznie dwie trzecie sumy wierzytelności przysługujących głosującym wierzycielom głosowali za przyjęciem układu, a wierzyciele z grupy lub grup, które wypowiedziały się przeciw przyjęciu układu, zostaną zaspokojeni na podstawie układu w stopniu nie mniej korzystnym niż w przypadku przeprowadzenia postępowania upadłościowego.</w:t>
      </w:r>
    </w:p>
    <w:p w14:paraId="6735C727" w14:textId="00CD4EF2" w:rsidR="00272C2B" w:rsidRDefault="00272C2B" w:rsidP="00844D85">
      <w:pPr>
        <w:spacing w:after="0" w:line="360" w:lineRule="auto"/>
        <w:ind w:firstLine="360"/>
        <w:jc w:val="both"/>
        <w:rPr>
          <w:rFonts w:ascii="Times New Roman" w:eastAsia="Calibri" w:hAnsi="Times New Roman" w:cs="Times New Roman"/>
          <w:sz w:val="24"/>
          <w:szCs w:val="24"/>
        </w:rPr>
      </w:pPr>
      <w:r w:rsidRPr="00272C2B">
        <w:rPr>
          <w:rFonts w:ascii="Times New Roman" w:eastAsia="Calibri" w:hAnsi="Times New Roman" w:cs="Times New Roman"/>
          <w:sz w:val="24"/>
          <w:szCs w:val="24"/>
        </w:rPr>
        <w:t>W przypadku zgłoszenia kilku propozycji układowych sędzia- -komisarz ustala kolejność głosowania nad propozycjami układowymi. Pod głosowanie poddaje się wszystkie propozycje układowe. Za przyjęte uznaje się te propozycje układowe, które uzyskały największe poparcie wierzycieli liczone w odniesieniu do sumy wierzytelności</w:t>
      </w:r>
      <w:r>
        <w:rPr>
          <w:rFonts w:ascii="Times New Roman" w:eastAsia="Calibri" w:hAnsi="Times New Roman" w:cs="Times New Roman"/>
          <w:sz w:val="24"/>
          <w:szCs w:val="24"/>
        </w:rPr>
        <w:t>.</w:t>
      </w:r>
    </w:p>
    <w:p w14:paraId="547645DB" w14:textId="7F9C6823" w:rsidR="00272C2B" w:rsidRDefault="00272C2B" w:rsidP="00844D85">
      <w:pPr>
        <w:spacing w:after="0" w:line="360" w:lineRule="auto"/>
        <w:ind w:firstLine="360"/>
        <w:jc w:val="both"/>
        <w:rPr>
          <w:rFonts w:ascii="Times New Roman" w:eastAsia="Calibri" w:hAnsi="Times New Roman" w:cs="Times New Roman"/>
          <w:sz w:val="24"/>
          <w:szCs w:val="24"/>
        </w:rPr>
      </w:pPr>
      <w:r w:rsidRPr="00272C2B">
        <w:rPr>
          <w:rFonts w:ascii="Times New Roman" w:eastAsia="Calibri" w:hAnsi="Times New Roman" w:cs="Times New Roman"/>
          <w:sz w:val="24"/>
          <w:szCs w:val="24"/>
        </w:rPr>
        <w:lastRenderedPageBreak/>
        <w:t>Na zgromadzeniu wierzycieli można zawrzeć układ, jeżeli w zgromadzeniu uczestniczy co najmniej jedna piąta wierzycieli uprawnionych do głosowania nad układem</w:t>
      </w:r>
      <w:r>
        <w:rPr>
          <w:rFonts w:ascii="Times New Roman" w:eastAsia="Calibri" w:hAnsi="Times New Roman" w:cs="Times New Roman"/>
          <w:sz w:val="24"/>
          <w:szCs w:val="24"/>
        </w:rPr>
        <w:t>.</w:t>
      </w:r>
    </w:p>
    <w:p w14:paraId="1BA0AF13" w14:textId="6D4B457F" w:rsidR="00272C2B" w:rsidRDefault="00272C2B" w:rsidP="00844D85">
      <w:pPr>
        <w:spacing w:after="0" w:line="360" w:lineRule="auto"/>
        <w:ind w:firstLine="360"/>
        <w:jc w:val="both"/>
        <w:rPr>
          <w:rFonts w:ascii="Times New Roman" w:eastAsia="Calibri" w:hAnsi="Times New Roman" w:cs="Times New Roman"/>
          <w:sz w:val="24"/>
          <w:szCs w:val="24"/>
        </w:rPr>
      </w:pPr>
      <w:r w:rsidRPr="00272C2B">
        <w:rPr>
          <w:rFonts w:ascii="Times New Roman" w:eastAsia="Calibri" w:hAnsi="Times New Roman" w:cs="Times New Roman"/>
          <w:sz w:val="24"/>
          <w:szCs w:val="24"/>
        </w:rPr>
        <w:t>Sędzia-komisarz wydaje na zgromadzeniu wierzycieli postanowienie w przedmiocie stwierdzenia przyjęcia układu. W sentencji postanowienia stwierdzającego przyjęcie układu zawiera się treść układu. Uchylenie przez sędziego-komisarza uchwały zgromadzenia wierzycieli o przyjęciu układu jest niedopuszczalne</w:t>
      </w:r>
      <w:r w:rsidR="000C2C68">
        <w:rPr>
          <w:rFonts w:ascii="Times New Roman" w:eastAsia="Calibri" w:hAnsi="Times New Roman" w:cs="Times New Roman"/>
          <w:sz w:val="24"/>
          <w:szCs w:val="24"/>
        </w:rPr>
        <w:t>.</w:t>
      </w:r>
    </w:p>
    <w:p w14:paraId="07D3B676" w14:textId="6F428FB6" w:rsidR="00D00C10" w:rsidRDefault="000C2C68" w:rsidP="00646EC3">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postępowania o zatwierdzenie układu, z mocy art. 212 PR dłużnik, po ustaleniu </w:t>
      </w:r>
      <w:r w:rsidRPr="000C2C68">
        <w:rPr>
          <w:rFonts w:ascii="Times New Roman" w:eastAsia="Calibri" w:hAnsi="Times New Roman" w:cs="Times New Roman"/>
          <w:sz w:val="24"/>
          <w:szCs w:val="24"/>
        </w:rPr>
        <w:t xml:space="preserve">dnia układowego </w:t>
      </w:r>
      <w:r>
        <w:rPr>
          <w:rFonts w:ascii="Times New Roman" w:eastAsia="Calibri" w:hAnsi="Times New Roman" w:cs="Times New Roman"/>
          <w:sz w:val="24"/>
          <w:szCs w:val="24"/>
        </w:rPr>
        <w:t>(</w:t>
      </w:r>
      <w:r w:rsidRPr="000C2C68">
        <w:rPr>
          <w:rFonts w:ascii="Times New Roman" w:eastAsia="Calibri" w:hAnsi="Times New Roman" w:cs="Times New Roman"/>
          <w:sz w:val="24"/>
          <w:szCs w:val="24"/>
        </w:rPr>
        <w:t>przypada</w:t>
      </w:r>
      <w:r>
        <w:rPr>
          <w:rFonts w:ascii="Times New Roman" w:eastAsia="Calibri" w:hAnsi="Times New Roman" w:cs="Times New Roman"/>
          <w:sz w:val="24"/>
          <w:szCs w:val="24"/>
        </w:rPr>
        <w:t>jącego</w:t>
      </w:r>
      <w:r w:rsidRPr="000C2C68">
        <w:rPr>
          <w:rFonts w:ascii="Times New Roman" w:eastAsia="Calibri" w:hAnsi="Times New Roman" w:cs="Times New Roman"/>
          <w:sz w:val="24"/>
          <w:szCs w:val="24"/>
        </w:rPr>
        <w:t xml:space="preserve"> nie wcześniej niż trzy miesiące i nie później niż dzień przed dniem złożenia wniosku o zatwierdzenie układu</w:t>
      </w:r>
      <w:r>
        <w:rPr>
          <w:rFonts w:ascii="Times New Roman" w:eastAsia="Calibri" w:hAnsi="Times New Roman" w:cs="Times New Roman"/>
          <w:sz w:val="24"/>
          <w:szCs w:val="24"/>
        </w:rPr>
        <w:t>)</w:t>
      </w:r>
      <w:r w:rsidRPr="000C2C68">
        <w:rPr>
          <w:rFonts w:ascii="Times New Roman" w:eastAsia="Calibri" w:hAnsi="Times New Roman" w:cs="Times New Roman"/>
          <w:sz w:val="24"/>
          <w:szCs w:val="24"/>
        </w:rPr>
        <w:t xml:space="preserve"> zbiera głosy na piśmie, przedstawiając wierzycielom karty do głosowania.</w:t>
      </w:r>
      <w:r>
        <w:rPr>
          <w:rFonts w:ascii="Times New Roman" w:eastAsia="Calibri" w:hAnsi="Times New Roman" w:cs="Times New Roman"/>
          <w:sz w:val="24"/>
          <w:szCs w:val="24"/>
        </w:rPr>
        <w:t xml:space="preserve"> Zgodnie z a</w:t>
      </w:r>
      <w:r w:rsidRPr="000C2C68">
        <w:rPr>
          <w:rFonts w:ascii="Times New Roman" w:eastAsia="Calibri" w:hAnsi="Times New Roman" w:cs="Times New Roman"/>
          <w:sz w:val="24"/>
          <w:szCs w:val="24"/>
        </w:rPr>
        <w:t>rt. 215</w:t>
      </w:r>
      <w:r>
        <w:rPr>
          <w:rFonts w:ascii="Times New Roman" w:eastAsia="Calibri" w:hAnsi="Times New Roman" w:cs="Times New Roman"/>
          <w:sz w:val="24"/>
          <w:szCs w:val="24"/>
        </w:rPr>
        <w:t xml:space="preserve"> PR</w:t>
      </w:r>
      <w:r w:rsidRPr="000C2C68">
        <w:rPr>
          <w:rFonts w:ascii="Times New Roman" w:eastAsia="Calibri" w:hAnsi="Times New Roman" w:cs="Times New Roman"/>
          <w:sz w:val="24"/>
          <w:szCs w:val="24"/>
        </w:rPr>
        <w:t xml:space="preserve"> </w:t>
      </w:r>
      <w:r>
        <w:rPr>
          <w:rFonts w:ascii="Times New Roman" w:eastAsia="Calibri" w:hAnsi="Times New Roman" w:cs="Times New Roman"/>
          <w:sz w:val="24"/>
          <w:szCs w:val="24"/>
        </w:rPr>
        <w:t>g</w:t>
      </w:r>
      <w:r w:rsidRPr="000C2C68">
        <w:rPr>
          <w:rFonts w:ascii="Times New Roman" w:eastAsia="Calibri" w:hAnsi="Times New Roman" w:cs="Times New Roman"/>
          <w:sz w:val="24"/>
          <w:szCs w:val="24"/>
        </w:rPr>
        <w:t>łos wierzyciela zachowuje ważność, o ile wniosek dłużnika o zatwierdzenie układu wpłynął do sądu przed upływem trzech miesięcy od dnia oddania głosu.</w:t>
      </w:r>
      <w:r w:rsidR="00646EC3">
        <w:rPr>
          <w:rFonts w:ascii="Times New Roman" w:eastAsia="Calibri" w:hAnsi="Times New Roman" w:cs="Times New Roman"/>
          <w:sz w:val="24"/>
          <w:szCs w:val="24"/>
        </w:rPr>
        <w:t xml:space="preserve"> </w:t>
      </w:r>
      <w:r w:rsidRPr="000C2C68">
        <w:rPr>
          <w:rFonts w:ascii="Times New Roman" w:eastAsia="Calibri" w:hAnsi="Times New Roman" w:cs="Times New Roman"/>
          <w:sz w:val="24"/>
          <w:szCs w:val="24"/>
        </w:rPr>
        <w:t>Przyjęcie układu stwierdza nadzorca układu</w:t>
      </w:r>
      <w:r w:rsidR="00D00C10">
        <w:rPr>
          <w:rFonts w:ascii="Times New Roman" w:eastAsia="Calibri" w:hAnsi="Times New Roman" w:cs="Times New Roman"/>
          <w:sz w:val="24"/>
          <w:szCs w:val="24"/>
        </w:rPr>
        <w:t xml:space="preserve">, po czym do sądu restrukturyzacyjnego składany jest wniosek o zatwierdzenie układu. </w:t>
      </w:r>
      <w:r w:rsidR="00D00C10" w:rsidRPr="00D00C10">
        <w:rPr>
          <w:rFonts w:ascii="Times New Roman" w:eastAsia="Calibri" w:hAnsi="Times New Roman" w:cs="Times New Roman"/>
          <w:sz w:val="24"/>
          <w:szCs w:val="24"/>
        </w:rPr>
        <w:t>Sąd wydaje postanowienie w przedmiocie zatwierdzenia układu w terminie dwóch tygodni od dnia złożenia wniosku o zatwierdzenie układu.</w:t>
      </w:r>
    </w:p>
    <w:p w14:paraId="7055ECF8" w14:textId="5EA115E5" w:rsidR="00451BB4" w:rsidRDefault="00550826" w:rsidP="00550826">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Zgodnie z a</w:t>
      </w:r>
      <w:r w:rsidR="00451BB4" w:rsidRPr="00451BB4">
        <w:rPr>
          <w:rFonts w:ascii="Times New Roman" w:eastAsia="Calibri" w:hAnsi="Times New Roman" w:cs="Times New Roman"/>
          <w:sz w:val="24"/>
          <w:szCs w:val="24"/>
        </w:rPr>
        <w:t>rt. 164</w:t>
      </w:r>
      <w:r>
        <w:rPr>
          <w:rFonts w:ascii="Times New Roman" w:eastAsia="Calibri" w:hAnsi="Times New Roman" w:cs="Times New Roman"/>
          <w:sz w:val="24"/>
          <w:szCs w:val="24"/>
        </w:rPr>
        <w:t xml:space="preserve"> ust.</w:t>
      </w:r>
      <w:r w:rsidR="00451BB4" w:rsidRPr="00451BB4">
        <w:rPr>
          <w:rFonts w:ascii="Times New Roman" w:eastAsia="Calibri" w:hAnsi="Times New Roman" w:cs="Times New Roman"/>
          <w:sz w:val="24"/>
          <w:szCs w:val="24"/>
        </w:rPr>
        <w:t xml:space="preserve"> 1</w:t>
      </w:r>
      <w:r>
        <w:rPr>
          <w:rFonts w:ascii="Times New Roman" w:eastAsia="Calibri" w:hAnsi="Times New Roman" w:cs="Times New Roman"/>
          <w:sz w:val="24"/>
          <w:szCs w:val="24"/>
        </w:rPr>
        <w:t xml:space="preserve"> PR</w:t>
      </w:r>
      <w:r w:rsidR="00451BB4" w:rsidRPr="00451BB4">
        <w:rPr>
          <w:rFonts w:ascii="Times New Roman" w:eastAsia="Calibri" w:hAnsi="Times New Roman" w:cs="Times New Roman"/>
          <w:sz w:val="24"/>
          <w:szCs w:val="24"/>
        </w:rPr>
        <w:t xml:space="preserve"> </w:t>
      </w:r>
      <w:r>
        <w:rPr>
          <w:rFonts w:ascii="Times New Roman" w:eastAsia="Calibri" w:hAnsi="Times New Roman" w:cs="Times New Roman"/>
          <w:sz w:val="24"/>
          <w:szCs w:val="24"/>
        </w:rPr>
        <w:t>u</w:t>
      </w:r>
      <w:r w:rsidR="00451BB4" w:rsidRPr="00451BB4">
        <w:rPr>
          <w:rFonts w:ascii="Times New Roman" w:eastAsia="Calibri" w:hAnsi="Times New Roman" w:cs="Times New Roman"/>
          <w:sz w:val="24"/>
          <w:szCs w:val="24"/>
        </w:rPr>
        <w:t>kład przyjęty przez zgromadzenie wierzycieli zatwierdza sąd, zawierając w sentencji postanowienia treść układu. Rozprawa wyznaczona w celu rozpoznania układu odbywa się nie wcześniej niż po upływie tygodnia od dnia zakończenia zgromadzenia wierzycieli, na którym przyjęto układ. Uczestnicy postępowania mogą pisemnie zgłaszać zastrzeżenia przeciwko układowi. Sąd nie bierze pod uwagę zastrzeżeń zgłoszonych po upływie tygodnia od dnia przyjęcia układu lub niespełniających wymogów formalnych pisma procesowego. O terminie rozprawy wyznaczonej w celu rozpoznania układu zawiadamia się przez obwieszczenie, chyba że sędzia-komisarz zawiadomił o tym na zgromadzeniu wierzycieli.  Postanowienie o zatwierdzeniu układu obwieszcza się.</w:t>
      </w:r>
    </w:p>
    <w:p w14:paraId="20B397CF" w14:textId="67903E0A" w:rsidR="00451BB4" w:rsidRDefault="001945F3" w:rsidP="00451BB4">
      <w:pPr>
        <w:spacing w:after="0" w:line="360" w:lineRule="auto"/>
        <w:jc w:val="both"/>
        <w:rPr>
          <w:rFonts w:ascii="Times New Roman" w:eastAsia="Calibri" w:hAnsi="Times New Roman" w:cs="Times New Roman"/>
          <w:sz w:val="24"/>
          <w:szCs w:val="24"/>
        </w:rPr>
      </w:pPr>
      <w:r w:rsidRPr="001945F3">
        <w:rPr>
          <w:rFonts w:ascii="Times New Roman" w:eastAsia="Calibri" w:hAnsi="Times New Roman" w:cs="Times New Roman"/>
          <w:sz w:val="24"/>
          <w:szCs w:val="24"/>
        </w:rPr>
        <w:t>.</w:t>
      </w:r>
      <w:r w:rsidR="00844D85">
        <w:rPr>
          <w:rFonts w:ascii="Times New Roman" w:eastAsia="Calibri" w:hAnsi="Times New Roman" w:cs="Times New Roman"/>
          <w:sz w:val="24"/>
          <w:szCs w:val="24"/>
        </w:rPr>
        <w:tab/>
      </w:r>
      <w:r w:rsidR="00D14DC0">
        <w:rPr>
          <w:rFonts w:ascii="Times New Roman" w:eastAsia="Calibri" w:hAnsi="Times New Roman" w:cs="Times New Roman"/>
          <w:sz w:val="24"/>
          <w:szCs w:val="24"/>
        </w:rPr>
        <w:t>Na mocy</w:t>
      </w:r>
      <w:r w:rsidR="00844D85">
        <w:rPr>
          <w:rFonts w:ascii="Times New Roman" w:eastAsia="Calibri" w:hAnsi="Times New Roman" w:cs="Times New Roman"/>
          <w:sz w:val="24"/>
          <w:szCs w:val="24"/>
        </w:rPr>
        <w:t xml:space="preserve"> a</w:t>
      </w:r>
      <w:r>
        <w:rPr>
          <w:rFonts w:ascii="Times New Roman" w:eastAsia="Calibri" w:hAnsi="Times New Roman" w:cs="Times New Roman"/>
          <w:sz w:val="24"/>
          <w:szCs w:val="24"/>
        </w:rPr>
        <w:t>rt.</w:t>
      </w:r>
      <w:r w:rsidRPr="001945F3">
        <w:rPr>
          <w:rFonts w:ascii="Times New Roman" w:eastAsia="Calibri" w:hAnsi="Times New Roman" w:cs="Times New Roman"/>
          <w:sz w:val="24"/>
          <w:szCs w:val="24"/>
        </w:rPr>
        <w:t xml:space="preserve"> 165</w:t>
      </w:r>
      <w:r w:rsidR="00844D85">
        <w:rPr>
          <w:rFonts w:ascii="Times New Roman" w:eastAsia="Calibri" w:hAnsi="Times New Roman" w:cs="Times New Roman"/>
          <w:sz w:val="24"/>
          <w:szCs w:val="24"/>
        </w:rPr>
        <w:t xml:space="preserve"> ust. </w:t>
      </w:r>
      <w:r w:rsidRPr="001945F3">
        <w:rPr>
          <w:rFonts w:ascii="Times New Roman" w:eastAsia="Calibri" w:hAnsi="Times New Roman" w:cs="Times New Roman"/>
          <w:sz w:val="24"/>
          <w:szCs w:val="24"/>
        </w:rPr>
        <w:t>1</w:t>
      </w:r>
      <w:r w:rsidR="00844D85">
        <w:rPr>
          <w:rFonts w:ascii="Times New Roman" w:eastAsia="Calibri" w:hAnsi="Times New Roman" w:cs="Times New Roman"/>
          <w:sz w:val="24"/>
          <w:szCs w:val="24"/>
        </w:rPr>
        <w:t xml:space="preserve"> PR</w:t>
      </w:r>
      <w:r w:rsidRPr="001945F3">
        <w:rPr>
          <w:rFonts w:ascii="Times New Roman" w:eastAsia="Calibri" w:hAnsi="Times New Roman" w:cs="Times New Roman"/>
          <w:sz w:val="24"/>
          <w:szCs w:val="24"/>
        </w:rPr>
        <w:t xml:space="preserve"> </w:t>
      </w:r>
      <w:r w:rsidR="00844D85">
        <w:rPr>
          <w:rFonts w:ascii="Times New Roman" w:eastAsia="Calibri" w:hAnsi="Times New Roman" w:cs="Times New Roman"/>
          <w:sz w:val="24"/>
          <w:szCs w:val="24"/>
        </w:rPr>
        <w:t>s</w:t>
      </w:r>
      <w:r w:rsidRPr="001945F3">
        <w:rPr>
          <w:rFonts w:ascii="Times New Roman" w:eastAsia="Calibri" w:hAnsi="Times New Roman" w:cs="Times New Roman"/>
          <w:sz w:val="24"/>
          <w:szCs w:val="24"/>
        </w:rPr>
        <w:t xml:space="preserve">ąd odmawia zatwierdzenia układu, jeżeli narusza on prawo, w szczególności jeżeli przewiduje udzielenie pomocy publicznej niezgodnie z przepisami, albo jeżeli jest oczywiste, że układ nie będzie wykonany. Domniemywa się, że jest oczywiste, że układ nie będzie wykonany, jeżeli dłużnik nie wykonuje zobowiązań powstałych po dniu otwarcia postępowania restrukturyzacyjnego. </w:t>
      </w:r>
      <w:r w:rsidR="00844D85">
        <w:rPr>
          <w:rFonts w:ascii="Times New Roman" w:eastAsia="Calibri" w:hAnsi="Times New Roman" w:cs="Times New Roman"/>
          <w:sz w:val="24"/>
          <w:szCs w:val="24"/>
        </w:rPr>
        <w:t>W przypadkach takich odmowa zatwierdzenia układu jest obligatoryjna. Ponadto w myśl art. 165 ust. 2 PR s</w:t>
      </w:r>
      <w:r w:rsidRPr="001945F3">
        <w:rPr>
          <w:rFonts w:ascii="Times New Roman" w:eastAsia="Calibri" w:hAnsi="Times New Roman" w:cs="Times New Roman"/>
          <w:sz w:val="24"/>
          <w:szCs w:val="24"/>
        </w:rPr>
        <w:t>ąd może odmówić zatwierdzenia układu, jeżeli jego warunki są rażąco krzywdzące dla wierzycieli, którzy głosowali przeciw układowi i zgłosili zastrzeżenia</w:t>
      </w:r>
      <w:r>
        <w:rPr>
          <w:rFonts w:ascii="Times New Roman" w:eastAsia="Calibri" w:hAnsi="Times New Roman" w:cs="Times New Roman"/>
          <w:sz w:val="24"/>
          <w:szCs w:val="24"/>
        </w:rPr>
        <w:t>.</w:t>
      </w:r>
    </w:p>
    <w:p w14:paraId="23A8E877" w14:textId="2360F57A" w:rsidR="00646EC3" w:rsidRDefault="00646EC3" w:rsidP="00451BB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Zgodnie z art. 165 ust. 3 PR s</w:t>
      </w:r>
      <w:r w:rsidRPr="00646EC3">
        <w:rPr>
          <w:rFonts w:ascii="Times New Roman" w:eastAsia="Calibri" w:hAnsi="Times New Roman" w:cs="Times New Roman"/>
          <w:sz w:val="24"/>
          <w:szCs w:val="24"/>
        </w:rPr>
        <w:t xml:space="preserve">ąd odmawia zatwierdzenia układu w postępowaniu o zatwierdzenie układu albo przyspieszonym postępowaniu układowym, jeżeli suma spornych </w:t>
      </w:r>
      <w:r w:rsidRPr="00646EC3">
        <w:rPr>
          <w:rFonts w:ascii="Times New Roman" w:eastAsia="Calibri" w:hAnsi="Times New Roman" w:cs="Times New Roman"/>
          <w:sz w:val="24"/>
          <w:szCs w:val="24"/>
        </w:rPr>
        <w:lastRenderedPageBreak/>
        <w:t xml:space="preserve">wierzytelności uprawniających do głosowania nad układem przekracza 15% sumy wierzytelności uprawniających do głosowania nad układem. Jeżeli w przyspieszonym postępowaniu układowym okoliczność </w:t>
      </w:r>
      <w:r>
        <w:rPr>
          <w:rFonts w:ascii="Times New Roman" w:eastAsia="Calibri" w:hAnsi="Times New Roman" w:cs="Times New Roman"/>
          <w:sz w:val="24"/>
          <w:szCs w:val="24"/>
        </w:rPr>
        <w:t>ta</w:t>
      </w:r>
      <w:r w:rsidRPr="00646EC3">
        <w:rPr>
          <w:rFonts w:ascii="Times New Roman" w:eastAsia="Calibri" w:hAnsi="Times New Roman" w:cs="Times New Roman"/>
          <w:sz w:val="24"/>
          <w:szCs w:val="24"/>
        </w:rPr>
        <w:t xml:space="preserve"> ujawni się po przyjęciu układu, sąd może zatwierdzić układ o ile zostanie wykazane, że dłużnik nie wiedział o istnieniu wierzytelności spornych, a ich zaspokojenie w wyniku wykonania układu nie będzie mniejsze niż w przypadku ogłoszenia upadłości dłużnika</w:t>
      </w:r>
      <w:r>
        <w:rPr>
          <w:rFonts w:ascii="Times New Roman" w:eastAsia="Calibri" w:hAnsi="Times New Roman" w:cs="Times New Roman"/>
          <w:sz w:val="24"/>
          <w:szCs w:val="24"/>
        </w:rPr>
        <w:t xml:space="preserve">. </w:t>
      </w:r>
    </w:p>
    <w:p w14:paraId="59B62149" w14:textId="576FDC5A" w:rsidR="00646EC3" w:rsidRDefault="00646EC3" w:rsidP="00451BB4">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646EC3">
        <w:rPr>
          <w:rFonts w:ascii="Times New Roman" w:eastAsia="Calibri" w:hAnsi="Times New Roman" w:cs="Times New Roman"/>
          <w:sz w:val="24"/>
          <w:szCs w:val="24"/>
        </w:rPr>
        <w:t>Na rozprawie wyznaczonej w celu rozpoznania układu sąd umarza postępowanie restrukturyzacyjne, jeżeli ustali, że układ nie został przyjęty na skutek braku odpowiedniej większości</w:t>
      </w:r>
      <w:r>
        <w:rPr>
          <w:rFonts w:ascii="Times New Roman" w:eastAsia="Calibri" w:hAnsi="Times New Roman" w:cs="Times New Roman"/>
          <w:sz w:val="24"/>
          <w:szCs w:val="24"/>
        </w:rPr>
        <w:t xml:space="preserve">. </w:t>
      </w:r>
    </w:p>
    <w:p w14:paraId="11329776" w14:textId="77777777" w:rsidR="00451BB4" w:rsidRPr="00451BB4" w:rsidRDefault="00451BB4" w:rsidP="00451BB4">
      <w:pPr>
        <w:spacing w:after="0" w:line="360" w:lineRule="auto"/>
        <w:jc w:val="both"/>
        <w:rPr>
          <w:rFonts w:ascii="Times New Roman" w:eastAsia="Calibri" w:hAnsi="Times New Roman" w:cs="Times New Roman"/>
          <w:sz w:val="24"/>
          <w:szCs w:val="24"/>
        </w:rPr>
      </w:pPr>
    </w:p>
    <w:p w14:paraId="100AEF7C" w14:textId="77777777" w:rsidR="00717DC3" w:rsidRDefault="00717DC3" w:rsidP="001B0065">
      <w:pPr>
        <w:spacing w:after="0" w:line="360" w:lineRule="auto"/>
        <w:jc w:val="both"/>
      </w:pPr>
    </w:p>
    <w:sectPr w:rsidR="00717DC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AC42" w14:textId="77777777" w:rsidR="00B972E6" w:rsidRDefault="00B972E6" w:rsidP="00FF43DD">
      <w:pPr>
        <w:spacing w:after="0" w:line="240" w:lineRule="auto"/>
      </w:pPr>
      <w:r>
        <w:separator/>
      </w:r>
    </w:p>
  </w:endnote>
  <w:endnote w:type="continuationSeparator" w:id="0">
    <w:p w14:paraId="55DDDECE" w14:textId="77777777" w:rsidR="00B972E6" w:rsidRDefault="00B972E6" w:rsidP="00FF4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086609"/>
      <w:docPartObj>
        <w:docPartGallery w:val="Page Numbers (Bottom of Page)"/>
        <w:docPartUnique/>
      </w:docPartObj>
    </w:sdtPr>
    <w:sdtEndPr/>
    <w:sdtContent>
      <w:p w14:paraId="0060F682" w14:textId="2A7F6F24" w:rsidR="009C1B26" w:rsidRDefault="009C1B26">
        <w:pPr>
          <w:pStyle w:val="Stopka"/>
          <w:jc w:val="right"/>
        </w:pPr>
        <w:r>
          <w:fldChar w:fldCharType="begin"/>
        </w:r>
        <w:r>
          <w:instrText>PAGE   \* MERGEFORMAT</w:instrText>
        </w:r>
        <w:r>
          <w:fldChar w:fldCharType="separate"/>
        </w:r>
        <w:r>
          <w:t>2</w:t>
        </w:r>
        <w:r>
          <w:fldChar w:fldCharType="end"/>
        </w:r>
      </w:p>
    </w:sdtContent>
  </w:sdt>
  <w:p w14:paraId="170459F3" w14:textId="77777777" w:rsidR="00FF43DD" w:rsidRDefault="00FF43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28A99" w14:textId="77777777" w:rsidR="00B972E6" w:rsidRDefault="00B972E6" w:rsidP="00FF43DD">
      <w:pPr>
        <w:spacing w:after="0" w:line="240" w:lineRule="auto"/>
      </w:pPr>
      <w:r>
        <w:separator/>
      </w:r>
    </w:p>
  </w:footnote>
  <w:footnote w:type="continuationSeparator" w:id="0">
    <w:p w14:paraId="57414DBD" w14:textId="77777777" w:rsidR="00B972E6" w:rsidRDefault="00B972E6" w:rsidP="00FF43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5870"/>
    <w:multiLevelType w:val="hybridMultilevel"/>
    <w:tmpl w:val="09D45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F425A"/>
    <w:multiLevelType w:val="hybridMultilevel"/>
    <w:tmpl w:val="62304E48"/>
    <w:lvl w:ilvl="0" w:tplc="F31AF4A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2F2305EB"/>
    <w:multiLevelType w:val="hybridMultilevel"/>
    <w:tmpl w:val="B968510A"/>
    <w:lvl w:ilvl="0" w:tplc="04150017">
      <w:start w:val="1"/>
      <w:numFmt w:val="lowerLetter"/>
      <w:lvlText w:val="%1)"/>
      <w:lvlJc w:val="left"/>
      <w:pPr>
        <w:ind w:left="1065" w:hanging="705"/>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C527E8D"/>
    <w:multiLevelType w:val="hybridMultilevel"/>
    <w:tmpl w:val="AA2E56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187"/>
    <w:rsid w:val="000C2C68"/>
    <w:rsid w:val="000E1D24"/>
    <w:rsid w:val="00101187"/>
    <w:rsid w:val="00102B35"/>
    <w:rsid w:val="00117C25"/>
    <w:rsid w:val="00137BC7"/>
    <w:rsid w:val="001945F3"/>
    <w:rsid w:val="00195DE3"/>
    <w:rsid w:val="001B0065"/>
    <w:rsid w:val="001E3647"/>
    <w:rsid w:val="00272C2B"/>
    <w:rsid w:val="00330230"/>
    <w:rsid w:val="003A0E1B"/>
    <w:rsid w:val="003C76BA"/>
    <w:rsid w:val="003D17A0"/>
    <w:rsid w:val="00451BB4"/>
    <w:rsid w:val="0049345D"/>
    <w:rsid w:val="004B741A"/>
    <w:rsid w:val="004C5D7D"/>
    <w:rsid w:val="00550826"/>
    <w:rsid w:val="005C016F"/>
    <w:rsid w:val="00601BD2"/>
    <w:rsid w:val="00624606"/>
    <w:rsid w:val="00646EC3"/>
    <w:rsid w:val="0065416C"/>
    <w:rsid w:val="0067454D"/>
    <w:rsid w:val="006D4DC2"/>
    <w:rsid w:val="006F3702"/>
    <w:rsid w:val="00717DC3"/>
    <w:rsid w:val="00804FC0"/>
    <w:rsid w:val="008310EC"/>
    <w:rsid w:val="008352C1"/>
    <w:rsid w:val="00844D85"/>
    <w:rsid w:val="00847B61"/>
    <w:rsid w:val="00867E6D"/>
    <w:rsid w:val="00887035"/>
    <w:rsid w:val="008B2CA6"/>
    <w:rsid w:val="009924B7"/>
    <w:rsid w:val="009C1531"/>
    <w:rsid w:val="009C1B26"/>
    <w:rsid w:val="009C3C59"/>
    <w:rsid w:val="00A70C38"/>
    <w:rsid w:val="00A82832"/>
    <w:rsid w:val="00B37E5F"/>
    <w:rsid w:val="00B6428A"/>
    <w:rsid w:val="00B831F6"/>
    <w:rsid w:val="00B972E6"/>
    <w:rsid w:val="00BF2529"/>
    <w:rsid w:val="00C67969"/>
    <w:rsid w:val="00CA4776"/>
    <w:rsid w:val="00D00C10"/>
    <w:rsid w:val="00D14DC0"/>
    <w:rsid w:val="00DA7EC4"/>
    <w:rsid w:val="00DD76A1"/>
    <w:rsid w:val="00DF5D5B"/>
    <w:rsid w:val="00E01746"/>
    <w:rsid w:val="00EA5A33"/>
    <w:rsid w:val="00EB23EE"/>
    <w:rsid w:val="00F0375A"/>
    <w:rsid w:val="00F90E93"/>
    <w:rsid w:val="00FB0DE4"/>
    <w:rsid w:val="00FC1AF8"/>
    <w:rsid w:val="00FD1300"/>
    <w:rsid w:val="00FF43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D79C"/>
  <w15:chartTrackingRefBased/>
  <w15:docId w15:val="{1430A119-CC56-41BC-BA8D-01C4F571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1187"/>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43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43DD"/>
  </w:style>
  <w:style w:type="paragraph" w:styleId="Stopka">
    <w:name w:val="footer"/>
    <w:basedOn w:val="Normalny"/>
    <w:link w:val="StopkaZnak"/>
    <w:uiPriority w:val="99"/>
    <w:unhideWhenUsed/>
    <w:rsid w:val="00FF43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43DD"/>
  </w:style>
  <w:style w:type="paragraph" w:styleId="Akapitzlist">
    <w:name w:val="List Paragraph"/>
    <w:basedOn w:val="Normalny"/>
    <w:uiPriority w:val="34"/>
    <w:qFormat/>
    <w:rsid w:val="00601BD2"/>
    <w:pPr>
      <w:spacing w:after="200" w:line="276" w:lineRule="auto"/>
      <w:ind w:left="720"/>
      <w:contextualSpacing/>
    </w:pPr>
  </w:style>
  <w:style w:type="paragraph" w:styleId="Tekstprzypisudolnego">
    <w:name w:val="footnote text"/>
    <w:basedOn w:val="Normalny"/>
    <w:link w:val="TekstprzypisudolnegoZnak"/>
    <w:qFormat/>
    <w:rsid w:val="00601BD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601BD2"/>
    <w:rPr>
      <w:rFonts w:ascii="Times New Roman" w:eastAsia="Times New Roman" w:hAnsi="Times New Roman" w:cs="Times New Roman"/>
      <w:sz w:val="20"/>
      <w:szCs w:val="20"/>
      <w:lang w:eastAsia="pl-PL"/>
    </w:rPr>
  </w:style>
  <w:style w:type="character" w:styleId="Odwoanieprzypisudolnego">
    <w:name w:val="footnote reference"/>
    <w:aliases w:val="ewa,Footnote Reference Number,Odwołanie przypisu Znak Znak,Odwołanie przypisu,Odwo3anie przypisu,SUPERS,Odsy³acz przypisu dolnego 1,Odsy3acz przypisu dolnego 1,Odsyłacz przypisu dolnego 1,FZ,Footnote symbol,Voetnootverwijzing"/>
    <w:uiPriority w:val="99"/>
    <w:rsid w:val="00601BD2"/>
    <w:rPr>
      <w:vertAlign w:val="superscript"/>
    </w:rPr>
  </w:style>
  <w:style w:type="character" w:styleId="Odwoaniedokomentarza">
    <w:name w:val="annotation reference"/>
    <w:basedOn w:val="Domylnaczcionkaakapitu"/>
    <w:uiPriority w:val="99"/>
    <w:semiHidden/>
    <w:unhideWhenUsed/>
    <w:rsid w:val="00867E6D"/>
    <w:rPr>
      <w:sz w:val="16"/>
      <w:szCs w:val="16"/>
    </w:rPr>
  </w:style>
  <w:style w:type="paragraph" w:styleId="Tekstkomentarza">
    <w:name w:val="annotation text"/>
    <w:basedOn w:val="Normalny"/>
    <w:link w:val="TekstkomentarzaZnak"/>
    <w:uiPriority w:val="99"/>
    <w:semiHidden/>
    <w:unhideWhenUsed/>
    <w:rsid w:val="00867E6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7E6D"/>
    <w:rPr>
      <w:sz w:val="20"/>
      <w:szCs w:val="20"/>
    </w:rPr>
  </w:style>
  <w:style w:type="paragraph" w:styleId="Tematkomentarza">
    <w:name w:val="annotation subject"/>
    <w:basedOn w:val="Tekstkomentarza"/>
    <w:next w:val="Tekstkomentarza"/>
    <w:link w:val="TematkomentarzaZnak"/>
    <w:uiPriority w:val="99"/>
    <w:semiHidden/>
    <w:unhideWhenUsed/>
    <w:rsid w:val="00867E6D"/>
    <w:rPr>
      <w:b/>
      <w:bCs/>
    </w:rPr>
  </w:style>
  <w:style w:type="character" w:customStyle="1" w:styleId="TematkomentarzaZnak">
    <w:name w:val="Temat komentarza Znak"/>
    <w:basedOn w:val="TekstkomentarzaZnak"/>
    <w:link w:val="Tematkomentarza"/>
    <w:uiPriority w:val="99"/>
    <w:semiHidden/>
    <w:rsid w:val="00867E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7</Pages>
  <Words>2149</Words>
  <Characters>12898</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17</cp:revision>
  <dcterms:created xsi:type="dcterms:W3CDTF">2021-03-26T08:09:00Z</dcterms:created>
  <dcterms:modified xsi:type="dcterms:W3CDTF">2022-02-04T10:31:00Z</dcterms:modified>
</cp:coreProperties>
</file>