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EA45" w14:textId="0F82D725" w:rsidR="00717DC3" w:rsidRDefault="00D745CE" w:rsidP="00CE347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E6B">
        <w:rPr>
          <w:rFonts w:ascii="Times New Roman" w:eastAsia="Calibri" w:hAnsi="Times New Roman" w:cs="Times New Roman"/>
          <w:b/>
          <w:bCs/>
          <w:sz w:val="24"/>
          <w:szCs w:val="24"/>
        </w:rPr>
        <w:t>PRAWO RESTRUKTURYZACYJNE Cz. 1</w:t>
      </w:r>
      <w:r w:rsidR="00546F9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53E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D745CE">
        <w:rPr>
          <w:rFonts w:ascii="Times New Roman" w:eastAsia="Calibri" w:hAnsi="Times New Roman" w:cs="Times New Roman"/>
          <w:b/>
          <w:bCs/>
          <w:sz w:val="24"/>
          <w:szCs w:val="24"/>
        </w:rPr>
        <w:t>ZAKOŃCZENIE I UMORZENIE POST</w:t>
      </w:r>
      <w:r w:rsidR="00546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ĘPOWANIA </w:t>
      </w:r>
      <w:r w:rsidR="00CE34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RESTR</w:t>
      </w:r>
      <w:r w:rsidR="00546F96">
        <w:rPr>
          <w:rFonts w:ascii="Times New Roman" w:eastAsia="Calibri" w:hAnsi="Times New Roman" w:cs="Times New Roman"/>
          <w:b/>
          <w:bCs/>
          <w:sz w:val="24"/>
          <w:szCs w:val="24"/>
        </w:rPr>
        <w:t>UKTURYZACYJNEGO</w:t>
      </w:r>
    </w:p>
    <w:p w14:paraId="28F30844" w14:textId="77777777" w:rsidR="00CE347C" w:rsidRPr="00CE347C" w:rsidRDefault="00CE347C" w:rsidP="00CE347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3C25E" w14:textId="7F908A66" w:rsidR="00524D06" w:rsidRDefault="00D745CE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45CE">
        <w:rPr>
          <w:rFonts w:ascii="Times New Roman" w:hAnsi="Times New Roman"/>
          <w:sz w:val="24"/>
          <w:szCs w:val="24"/>
        </w:rPr>
        <w:tab/>
        <w:t xml:space="preserve">Koniec postępowania restrukturyzacyjnego nastąpić może bądź wskutek jego zakończenia, </w:t>
      </w:r>
      <w:r w:rsidR="00D2000C">
        <w:rPr>
          <w:rFonts w:ascii="Times New Roman" w:hAnsi="Times New Roman"/>
          <w:sz w:val="24"/>
          <w:szCs w:val="24"/>
        </w:rPr>
        <w:t>bądź przez umorzenie tego postępowania.</w:t>
      </w:r>
      <w:r w:rsidR="00CE347C">
        <w:rPr>
          <w:rFonts w:ascii="Times New Roman" w:hAnsi="Times New Roman"/>
          <w:sz w:val="24"/>
          <w:szCs w:val="24"/>
        </w:rPr>
        <w:t xml:space="preserve"> </w:t>
      </w:r>
      <w:r w:rsidR="00D2000C">
        <w:rPr>
          <w:rFonts w:ascii="Times New Roman" w:hAnsi="Times New Roman"/>
          <w:sz w:val="24"/>
          <w:szCs w:val="24"/>
        </w:rPr>
        <w:t xml:space="preserve">Zakończenie postępowania restrukturyzacyjnego następuje </w:t>
      </w:r>
      <w:r w:rsidRPr="00D745CE">
        <w:rPr>
          <w:rFonts w:ascii="Times New Roman" w:hAnsi="Times New Roman"/>
          <w:sz w:val="24"/>
          <w:szCs w:val="24"/>
        </w:rPr>
        <w:t xml:space="preserve">po wyczerpaniu </w:t>
      </w:r>
      <w:r>
        <w:rPr>
          <w:rFonts w:ascii="Times New Roman" w:hAnsi="Times New Roman"/>
          <w:sz w:val="24"/>
          <w:szCs w:val="24"/>
        </w:rPr>
        <w:t xml:space="preserve">wszystkich </w:t>
      </w:r>
      <w:r w:rsidRPr="00D745CE">
        <w:rPr>
          <w:rFonts w:ascii="Times New Roman" w:hAnsi="Times New Roman"/>
          <w:sz w:val="24"/>
          <w:szCs w:val="24"/>
        </w:rPr>
        <w:t xml:space="preserve">przewidzianych w </w:t>
      </w:r>
      <w:r>
        <w:rPr>
          <w:rFonts w:ascii="Times New Roman" w:hAnsi="Times New Roman"/>
          <w:sz w:val="24"/>
          <w:szCs w:val="24"/>
        </w:rPr>
        <w:t xml:space="preserve">przepisach PR etapów tego postępowania, aż do etapu wydania przez </w:t>
      </w:r>
      <w:r w:rsidR="00D2000C">
        <w:rPr>
          <w:rFonts w:ascii="Times New Roman" w:hAnsi="Times New Roman"/>
          <w:sz w:val="24"/>
          <w:szCs w:val="24"/>
        </w:rPr>
        <w:t xml:space="preserve">sąd restrukturyzacyjny </w:t>
      </w:r>
      <w:r w:rsidRPr="00D745CE">
        <w:rPr>
          <w:rFonts w:ascii="Times New Roman" w:hAnsi="Times New Roman"/>
          <w:sz w:val="24"/>
          <w:szCs w:val="24"/>
        </w:rPr>
        <w:t xml:space="preserve"> </w:t>
      </w:r>
      <w:r w:rsidR="00D2000C">
        <w:rPr>
          <w:rFonts w:ascii="Times New Roman" w:hAnsi="Times New Roman"/>
          <w:sz w:val="24"/>
          <w:szCs w:val="24"/>
        </w:rPr>
        <w:t xml:space="preserve">postanowienia w przedmiocie zatwierdzenia układu </w:t>
      </w:r>
      <w:r w:rsidR="00524D06">
        <w:rPr>
          <w:rFonts w:ascii="Times New Roman" w:hAnsi="Times New Roman"/>
          <w:sz w:val="24"/>
          <w:szCs w:val="24"/>
        </w:rPr>
        <w:t xml:space="preserve">i jego uprawomocnienia </w:t>
      </w:r>
      <w:r w:rsidR="00D2000C">
        <w:rPr>
          <w:rFonts w:ascii="Times New Roman" w:hAnsi="Times New Roman"/>
          <w:sz w:val="24"/>
          <w:szCs w:val="24"/>
        </w:rPr>
        <w:t>– stanowi zatem niejako normalny przewidywany przez ustawodawcę sposób zamknięcia tego postępowania.</w:t>
      </w:r>
      <w:r w:rsidR="00524D06">
        <w:rPr>
          <w:rFonts w:ascii="Times New Roman" w:hAnsi="Times New Roman"/>
          <w:sz w:val="24"/>
          <w:szCs w:val="24"/>
        </w:rPr>
        <w:t xml:space="preserve"> Z kolei umorzenie postępowania następuje w jego trakcie, bez osiągnięcia etapu zatwierdzenia układu.</w:t>
      </w:r>
    </w:p>
    <w:p w14:paraId="6973EEFB" w14:textId="5216570A" w:rsidR="00D745CE" w:rsidRDefault="00524D06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Zgodnie z art. 324 ust. 1 PR p</w:t>
      </w:r>
      <w:r w:rsidRPr="00524D06">
        <w:rPr>
          <w:rFonts w:ascii="Times New Roman" w:hAnsi="Times New Roman"/>
          <w:sz w:val="24"/>
          <w:szCs w:val="24"/>
        </w:rPr>
        <w:t>ostępowanie restrukturyzacyjne zostaje zakończone z dniem uprawomocnienia się postanowienia o zatwierdzeniu układu albo o odmowie zatwierdzenia układu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4D06">
        <w:rPr>
          <w:rFonts w:ascii="Times New Roman" w:hAnsi="Times New Roman"/>
          <w:sz w:val="24"/>
          <w:szCs w:val="24"/>
        </w:rPr>
        <w:t>O zakończeniu postępowania restrukturyzacyjnego obwieszcza się</w:t>
      </w:r>
      <w:r>
        <w:rPr>
          <w:rFonts w:ascii="Times New Roman" w:hAnsi="Times New Roman"/>
          <w:sz w:val="24"/>
          <w:szCs w:val="24"/>
        </w:rPr>
        <w:t>. Zatwierdzenie przez sąd restrukturyzacyjny układu powoduje wejście w życie jego postanowień i restrukturyzację zobowiązań dłużnika. Bezpośredni cel postępowania zostaje zatem osiągnięty. Odmowa zatwierdzenia układu skutkuje brakiem restrukturyzacji zobowiązań dłużnika i koniecznością ich realizacji w pełnej wysokości, co częstokroć może doprowadzić do jego szybkiej upadłości – stąd ustawodawca przewiduje w takiej sytuacji możliwość złożenia uproszczonego wniosku o ogłoszenie upadłości dłużnika.</w:t>
      </w:r>
    </w:p>
    <w:p w14:paraId="44C1C964" w14:textId="4CEC4D33" w:rsidR="00546FDE" w:rsidRDefault="00524D06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6FDE">
        <w:rPr>
          <w:rFonts w:ascii="Times New Roman" w:hAnsi="Times New Roman"/>
          <w:sz w:val="24"/>
          <w:szCs w:val="24"/>
        </w:rPr>
        <w:t>P</w:t>
      </w:r>
      <w:r w:rsidR="00DD6150">
        <w:rPr>
          <w:rFonts w:ascii="Times New Roman" w:hAnsi="Times New Roman"/>
          <w:sz w:val="24"/>
          <w:szCs w:val="24"/>
        </w:rPr>
        <w:t>odstawy</w:t>
      </w:r>
      <w:r w:rsidR="00546FDE">
        <w:rPr>
          <w:rFonts w:ascii="Times New Roman" w:hAnsi="Times New Roman"/>
          <w:sz w:val="24"/>
          <w:szCs w:val="24"/>
        </w:rPr>
        <w:t xml:space="preserve"> umorzenia postępowania restrukturyzacyjnego określone zostały w art. 325 i 326 PR, przy czym można wśród nich wyróżnić p</w:t>
      </w:r>
      <w:r w:rsidR="00DD6150">
        <w:rPr>
          <w:rFonts w:ascii="Times New Roman" w:hAnsi="Times New Roman"/>
          <w:sz w:val="24"/>
          <w:szCs w:val="24"/>
        </w:rPr>
        <w:t xml:space="preserve">odstawy o charakterze obligatoryjnym, których </w:t>
      </w:r>
      <w:r w:rsidR="00546FDE">
        <w:rPr>
          <w:rFonts w:ascii="Times New Roman" w:hAnsi="Times New Roman"/>
          <w:sz w:val="24"/>
          <w:szCs w:val="24"/>
        </w:rPr>
        <w:t>zaistnieni</w:t>
      </w:r>
      <w:r w:rsidR="00DD6150">
        <w:rPr>
          <w:rFonts w:ascii="Times New Roman" w:hAnsi="Times New Roman"/>
          <w:sz w:val="24"/>
          <w:szCs w:val="24"/>
        </w:rPr>
        <w:t>e</w:t>
      </w:r>
      <w:r w:rsidR="00546FDE">
        <w:rPr>
          <w:rFonts w:ascii="Times New Roman" w:hAnsi="Times New Roman"/>
          <w:sz w:val="24"/>
          <w:szCs w:val="24"/>
        </w:rPr>
        <w:t xml:space="preserve"> </w:t>
      </w:r>
      <w:r w:rsidR="00DD6150">
        <w:rPr>
          <w:rFonts w:ascii="Times New Roman" w:hAnsi="Times New Roman"/>
          <w:sz w:val="24"/>
          <w:szCs w:val="24"/>
        </w:rPr>
        <w:t>obliguje</w:t>
      </w:r>
      <w:r w:rsidR="00546FDE">
        <w:rPr>
          <w:rFonts w:ascii="Times New Roman" w:hAnsi="Times New Roman"/>
          <w:sz w:val="24"/>
          <w:szCs w:val="24"/>
        </w:rPr>
        <w:t xml:space="preserve"> sąd </w:t>
      </w:r>
      <w:r w:rsidR="00DD6150">
        <w:rPr>
          <w:rFonts w:ascii="Times New Roman" w:hAnsi="Times New Roman"/>
          <w:sz w:val="24"/>
          <w:szCs w:val="24"/>
        </w:rPr>
        <w:t>do</w:t>
      </w:r>
      <w:r w:rsidR="00546FDE">
        <w:rPr>
          <w:rFonts w:ascii="Times New Roman" w:hAnsi="Times New Roman"/>
          <w:sz w:val="24"/>
          <w:szCs w:val="24"/>
        </w:rPr>
        <w:t xml:space="preserve"> umarz</w:t>
      </w:r>
      <w:r w:rsidR="00DD6150">
        <w:rPr>
          <w:rFonts w:ascii="Times New Roman" w:hAnsi="Times New Roman"/>
          <w:sz w:val="24"/>
          <w:szCs w:val="24"/>
        </w:rPr>
        <w:t>enia</w:t>
      </w:r>
      <w:r w:rsidR="00546FDE">
        <w:rPr>
          <w:rFonts w:ascii="Times New Roman" w:hAnsi="Times New Roman"/>
          <w:sz w:val="24"/>
          <w:szCs w:val="24"/>
        </w:rPr>
        <w:t xml:space="preserve"> postępowanie restrukturyzacyjne, oraz </w:t>
      </w:r>
      <w:r w:rsidR="00DD6150">
        <w:rPr>
          <w:rFonts w:ascii="Times New Roman" w:hAnsi="Times New Roman"/>
          <w:sz w:val="24"/>
          <w:szCs w:val="24"/>
        </w:rPr>
        <w:t>podstawy</w:t>
      </w:r>
      <w:r w:rsidR="00546FDE">
        <w:rPr>
          <w:rFonts w:ascii="Times New Roman" w:hAnsi="Times New Roman"/>
          <w:sz w:val="24"/>
          <w:szCs w:val="24"/>
        </w:rPr>
        <w:t xml:space="preserve"> fakultatywne, w przypadku zaistnienia których </w:t>
      </w:r>
      <w:r w:rsidR="00DD6150">
        <w:rPr>
          <w:rFonts w:ascii="Times New Roman" w:hAnsi="Times New Roman"/>
          <w:sz w:val="24"/>
          <w:szCs w:val="24"/>
        </w:rPr>
        <w:t xml:space="preserve">decyzja o </w:t>
      </w:r>
      <w:r w:rsidR="00546FDE">
        <w:rPr>
          <w:rFonts w:ascii="Times New Roman" w:hAnsi="Times New Roman"/>
          <w:sz w:val="24"/>
          <w:szCs w:val="24"/>
        </w:rPr>
        <w:t>umorzeni</w:t>
      </w:r>
      <w:r w:rsidR="00DD6150">
        <w:rPr>
          <w:rFonts w:ascii="Times New Roman" w:hAnsi="Times New Roman"/>
          <w:sz w:val="24"/>
          <w:szCs w:val="24"/>
        </w:rPr>
        <w:t>u</w:t>
      </w:r>
      <w:r w:rsidR="00546FDE">
        <w:rPr>
          <w:rFonts w:ascii="Times New Roman" w:hAnsi="Times New Roman"/>
          <w:sz w:val="24"/>
          <w:szCs w:val="24"/>
        </w:rPr>
        <w:t xml:space="preserve"> postępowania zależy od uznania sądu. </w:t>
      </w:r>
    </w:p>
    <w:p w14:paraId="205A8E72" w14:textId="586CD296" w:rsidR="00DD6150" w:rsidRDefault="00DD6150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Można również wyróżnić podstawy umorzenia dotyczące wszystkich postępowań restrukturyzacyjnych i podstawy umorzenia dotyczące jedynie niektórych, ściśle określonych w przepisach rodzajów postępowań restrukturyzacyjnych.</w:t>
      </w:r>
    </w:p>
    <w:p w14:paraId="1574226E" w14:textId="23598F35" w:rsidR="00CE347C" w:rsidRDefault="005562F8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Obligatoryjne podstawy umorzenia postępowania restrukturyzacyjnego, dotyczące wszystkich rodzajów postępowań uregulowanych w ustawie, zostały przez ustawodawcę wymienione w art.</w:t>
      </w:r>
      <w:r w:rsidR="00546FDE" w:rsidRPr="00546FDE">
        <w:rPr>
          <w:rFonts w:ascii="Times New Roman" w:hAnsi="Times New Roman"/>
          <w:sz w:val="24"/>
          <w:szCs w:val="24"/>
        </w:rPr>
        <w:t xml:space="preserve"> 325</w:t>
      </w:r>
      <w:r>
        <w:rPr>
          <w:rFonts w:ascii="Times New Roman" w:hAnsi="Times New Roman"/>
          <w:sz w:val="24"/>
          <w:szCs w:val="24"/>
        </w:rPr>
        <w:t xml:space="preserve"> ust. 1 PR, zgodnie z którym</w:t>
      </w:r>
      <w:r w:rsidR="00546FDE" w:rsidRPr="00546F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546FDE" w:rsidRPr="00546FDE">
        <w:rPr>
          <w:rFonts w:ascii="Times New Roman" w:hAnsi="Times New Roman"/>
          <w:sz w:val="24"/>
          <w:szCs w:val="24"/>
        </w:rPr>
        <w:t xml:space="preserve">ąd umarza postępowanie restrukturyzacyjne, jeżeli: </w:t>
      </w:r>
    </w:p>
    <w:p w14:paraId="672D0A24" w14:textId="77777777" w:rsidR="005562F8" w:rsidRDefault="00546FDE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FDE">
        <w:rPr>
          <w:rFonts w:ascii="Times New Roman" w:hAnsi="Times New Roman"/>
          <w:sz w:val="24"/>
          <w:szCs w:val="24"/>
        </w:rPr>
        <w:t xml:space="preserve">1) prowadzenie postępowania zmierzałoby do pokrzywdzenia wierzycieli; </w:t>
      </w:r>
    </w:p>
    <w:p w14:paraId="4AB753DF" w14:textId="79D9CA5E" w:rsidR="005562F8" w:rsidRDefault="00546FDE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FDE">
        <w:rPr>
          <w:rFonts w:ascii="Times New Roman" w:hAnsi="Times New Roman"/>
          <w:sz w:val="24"/>
          <w:szCs w:val="24"/>
        </w:rPr>
        <w:t xml:space="preserve">2) </w:t>
      </w:r>
      <w:bookmarkStart w:id="0" w:name="_Hlk72226171"/>
      <w:r w:rsidRPr="00546FDE">
        <w:rPr>
          <w:rFonts w:ascii="Times New Roman" w:hAnsi="Times New Roman"/>
          <w:sz w:val="24"/>
          <w:szCs w:val="24"/>
        </w:rPr>
        <w:t xml:space="preserve">dłużnik wniósł o umorzenie postępowania i zezwoliła na to rada wierzycieli; </w:t>
      </w:r>
    </w:p>
    <w:p w14:paraId="4950F019" w14:textId="77777777" w:rsidR="005562F8" w:rsidRDefault="00546FDE" w:rsidP="00D745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FDE">
        <w:rPr>
          <w:rFonts w:ascii="Times New Roman" w:hAnsi="Times New Roman"/>
          <w:sz w:val="24"/>
          <w:szCs w:val="24"/>
        </w:rPr>
        <w:lastRenderedPageBreak/>
        <w:t>3) układ nie został przyjęty</w:t>
      </w:r>
      <w:bookmarkEnd w:id="0"/>
      <w:r w:rsidRPr="00546FDE">
        <w:rPr>
          <w:rFonts w:ascii="Times New Roman" w:hAnsi="Times New Roman"/>
          <w:sz w:val="24"/>
          <w:szCs w:val="24"/>
        </w:rPr>
        <w:t xml:space="preserve">; </w:t>
      </w:r>
    </w:p>
    <w:p w14:paraId="5C6CAF9E" w14:textId="24728C3D" w:rsidR="00D745CE" w:rsidRPr="005801C6" w:rsidRDefault="00546FDE" w:rsidP="005801C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FDE">
        <w:rPr>
          <w:rFonts w:ascii="Times New Roman" w:hAnsi="Times New Roman"/>
          <w:sz w:val="24"/>
          <w:szCs w:val="24"/>
        </w:rPr>
        <w:t>4) uprawomocniło się postanowienie o ogłoszeniu upadłości dłużnika</w:t>
      </w:r>
    </w:p>
    <w:p w14:paraId="6332D5F5" w14:textId="2B8BE34F" w:rsidR="005562F8" w:rsidRDefault="005562F8" w:rsidP="005562F8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kolejnych ustępach przywołanego przepisu ustawodawca określił przypadki dotyczące wszystkich rodzajów postępowań restrukturyzacyjnych, w których umorzenie postępowania ma jednak charakter fakultatywny, zależny od uznania sądu restrukturyzacyjnego</w:t>
      </w:r>
      <w:r w:rsidR="00DF3BF7">
        <w:rPr>
          <w:rFonts w:ascii="Times New Roman" w:hAnsi="Times New Roman" w:cs="Times New Roman"/>
          <w:sz w:val="24"/>
          <w:szCs w:val="24"/>
        </w:rPr>
        <w:t>, wynikając z leżących po stronie dłużnika okoliczności budzących wątpliwości co do jego intencji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3BF7">
        <w:rPr>
          <w:rFonts w:ascii="Times New Roman" w:hAnsi="Times New Roman" w:cs="Times New Roman"/>
          <w:sz w:val="24"/>
          <w:szCs w:val="24"/>
        </w:rPr>
        <w:t xml:space="preserve"> Zgodnie z art. 325 ust. 2 PR s</w:t>
      </w:r>
      <w:r w:rsidR="00DF3BF7" w:rsidRPr="00DF3BF7">
        <w:rPr>
          <w:rFonts w:ascii="Times New Roman" w:hAnsi="Times New Roman" w:cs="Times New Roman"/>
          <w:sz w:val="24"/>
          <w:szCs w:val="24"/>
        </w:rPr>
        <w:t>ąd może umorzyć postępowanie restrukturyzacyjne, jeżeli z okoliczności sprawy, w szczególności z zachowania dłużnika, wynika, że układ nie zostanie wykonany.</w:t>
      </w:r>
      <w:r w:rsidR="00DF3BF7">
        <w:rPr>
          <w:rFonts w:ascii="Times New Roman" w:hAnsi="Times New Roman" w:cs="Times New Roman"/>
          <w:sz w:val="24"/>
          <w:szCs w:val="24"/>
        </w:rPr>
        <w:t xml:space="preserve"> Ponadto, z mocy art. 325 ust. 3 </w:t>
      </w:r>
      <w:r w:rsidR="005801C6">
        <w:rPr>
          <w:rFonts w:ascii="Times New Roman" w:hAnsi="Times New Roman" w:cs="Times New Roman"/>
          <w:sz w:val="24"/>
          <w:szCs w:val="24"/>
        </w:rPr>
        <w:t>PR, s</w:t>
      </w:r>
      <w:r w:rsidR="005801C6" w:rsidRPr="005801C6">
        <w:rPr>
          <w:rFonts w:ascii="Times New Roman" w:hAnsi="Times New Roman" w:cs="Times New Roman"/>
          <w:sz w:val="24"/>
          <w:szCs w:val="24"/>
        </w:rPr>
        <w:t>ąd może umorzyć postępowanie restrukturyzacyjne, jeżeli dłużnik nie wykonuje poleceń sędziego-komisarza i zezwoliła na to rada wierzycieli.</w:t>
      </w:r>
    </w:p>
    <w:p w14:paraId="309C1123" w14:textId="45F0B316" w:rsidR="005801C6" w:rsidRDefault="005801C6" w:rsidP="005562F8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 art. 326 PR wskazuje obligatoryjne podstawy umorzenia dotyczące ściśle określonych postępowań restrukturyzacyjnych:</w:t>
      </w:r>
    </w:p>
    <w:p w14:paraId="123C9FCE" w14:textId="39A6608B" w:rsidR="005801C6" w:rsidRDefault="005801C6" w:rsidP="0058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Przyspieszone postępowanie układowe s</w:t>
      </w:r>
      <w:r w:rsidRPr="005801C6">
        <w:rPr>
          <w:rFonts w:ascii="Times New Roman" w:hAnsi="Times New Roman" w:cs="Times New Roman"/>
          <w:sz w:val="24"/>
          <w:szCs w:val="24"/>
        </w:rPr>
        <w:t>ąd umarza w przypadku stwierdzenia, że suma wierzytelności spornych uprawniających do głosowania nad układem przekracza 15% sumy wierzytelności uprawniających do głosowania nad układem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01C6"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jednak okoliczność ta </w:t>
      </w:r>
      <w:r w:rsidRPr="005801C6">
        <w:rPr>
          <w:rFonts w:ascii="Times New Roman" w:hAnsi="Times New Roman" w:cs="Times New Roman"/>
          <w:sz w:val="24"/>
          <w:szCs w:val="24"/>
        </w:rPr>
        <w:t>ujawni się po przyjęciu układu, sąd może zatwierdzić układ o ile zostanie wykazane, że dłużnik nie wiedział o istnieniu wierzytelności spornych, a ich zaspokojenie w wyniku wykonania układu nie będzie mniejsze niż w przypadku ogłoszenia upadłości dłużnika.</w:t>
      </w:r>
    </w:p>
    <w:p w14:paraId="5C324A50" w14:textId="77777777" w:rsidR="00500539" w:rsidRDefault="005801C6" w:rsidP="0058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Postępowanie układowe sąd umarza</w:t>
      </w:r>
      <w:r w:rsidRPr="005801C6">
        <w:rPr>
          <w:rFonts w:ascii="Times New Roman" w:hAnsi="Times New Roman" w:cs="Times New Roman"/>
          <w:sz w:val="24"/>
          <w:szCs w:val="24"/>
        </w:rPr>
        <w:t>, jeżeli dłużnik utracił zdolność do bieżącego zaspokajania kosztów postępowania i zobowiązań powstałych po jego otwarciu oraz zobowiązań, które nie mogą zostać objęte układem. Domniemywa się, że dłużnik utracił zdolność do zaspokajania zobowiązań, jeżeli opóźnienie w ich wykonywaniu przekracza trzydzieści dni</w:t>
      </w:r>
      <w:r w:rsidR="00500539">
        <w:rPr>
          <w:rFonts w:ascii="Times New Roman" w:hAnsi="Times New Roman" w:cs="Times New Roman"/>
          <w:sz w:val="24"/>
          <w:szCs w:val="24"/>
        </w:rPr>
        <w:t>.</w:t>
      </w:r>
    </w:p>
    <w:p w14:paraId="1D2D0FC9" w14:textId="77777777" w:rsidR="00500539" w:rsidRDefault="00500539" w:rsidP="0058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sanacyjne sąd umarza gdy:</w:t>
      </w:r>
    </w:p>
    <w:p w14:paraId="55610B80" w14:textId="77777777" w:rsidR="00500539" w:rsidRDefault="00500539" w:rsidP="0050053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39">
        <w:rPr>
          <w:rFonts w:ascii="Times New Roman" w:hAnsi="Times New Roman" w:cs="Times New Roman"/>
          <w:sz w:val="24"/>
          <w:szCs w:val="24"/>
        </w:rPr>
        <w:t>dłużnik utracił zdolność do bieżącego zaspokajania kosztów postępowania i zobowiązań powstałych po jego otwarciu oraz zobowiązań, które nie mogą zostać objęte układem</w:t>
      </w:r>
      <w:r>
        <w:rPr>
          <w:rFonts w:ascii="Times New Roman" w:hAnsi="Times New Roman" w:cs="Times New Roman"/>
          <w:sz w:val="24"/>
          <w:szCs w:val="24"/>
        </w:rPr>
        <w:t xml:space="preserve"> (w tym przypadku również obowiązuje domniemanie, </w:t>
      </w:r>
      <w:r w:rsidRPr="00500539">
        <w:rPr>
          <w:rFonts w:ascii="Times New Roman" w:hAnsi="Times New Roman" w:cs="Times New Roman"/>
          <w:sz w:val="24"/>
          <w:szCs w:val="24"/>
        </w:rPr>
        <w:t xml:space="preserve"> że dłużnik utracił zdolność do zaspokajania zobowiązań, jeżeli opóźnienie w ich wykonywaniu przekracza trzydzieści dni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15D5DECC" w14:textId="3CCCE2C2" w:rsidR="00CE347C" w:rsidRPr="00CE347C" w:rsidRDefault="005801C6" w:rsidP="00CE347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539" w:rsidRPr="00500539">
        <w:rPr>
          <w:rFonts w:ascii="Times New Roman" w:hAnsi="Times New Roman" w:cs="Times New Roman"/>
          <w:sz w:val="24"/>
          <w:szCs w:val="24"/>
        </w:rPr>
        <w:t>brak jest realnych możliwości przywrócenia dłużnikowi zdolności do wykonywania zobowiązań.</w:t>
      </w:r>
    </w:p>
    <w:p w14:paraId="4017BB1C" w14:textId="77777777" w:rsidR="00500539" w:rsidRDefault="00500539" w:rsidP="0050053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Zgodnie z art. 327 PR n</w:t>
      </w:r>
      <w:r w:rsidRPr="00500539">
        <w:rPr>
          <w:rFonts w:ascii="Times New Roman" w:hAnsi="Times New Roman" w:cs="Times New Roman"/>
          <w:sz w:val="24"/>
          <w:szCs w:val="24"/>
        </w:rPr>
        <w:t>a postanowienie o umorzeniu postępowania przysługuje zażalenie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500539">
        <w:rPr>
          <w:rFonts w:ascii="Times New Roman" w:hAnsi="Times New Roman" w:cs="Times New Roman"/>
          <w:sz w:val="24"/>
          <w:szCs w:val="24"/>
        </w:rPr>
        <w:t xml:space="preserve"> wnosi się w terminie dwóch tygodni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0539">
        <w:rPr>
          <w:rFonts w:ascii="Times New Roman" w:hAnsi="Times New Roman" w:cs="Times New Roman"/>
          <w:sz w:val="24"/>
          <w:szCs w:val="24"/>
        </w:rPr>
        <w:t xml:space="preserve"> Na postanowienie oddalające wniosek o umorzenie postępowania zażalenie przysługuje </w:t>
      </w:r>
      <w:r>
        <w:rPr>
          <w:rFonts w:ascii="Times New Roman" w:hAnsi="Times New Roman" w:cs="Times New Roman"/>
          <w:sz w:val="24"/>
          <w:szCs w:val="24"/>
        </w:rPr>
        <w:t xml:space="preserve">przy tym </w:t>
      </w:r>
      <w:r w:rsidRPr="00500539">
        <w:rPr>
          <w:rFonts w:ascii="Times New Roman" w:hAnsi="Times New Roman" w:cs="Times New Roman"/>
          <w:sz w:val="24"/>
          <w:szCs w:val="24"/>
        </w:rPr>
        <w:t>wyłącznie wnioskodawcy.</w:t>
      </w:r>
    </w:p>
    <w:p w14:paraId="7C13495D" w14:textId="1BD7516C" w:rsidR="00500539" w:rsidRDefault="00500539" w:rsidP="0050053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Skutki zakończenia i umorzenia postępowania restrukturyzacyjnego określają przepisy art. 329 i nast. PR. Przede wszystkim zgodnie z art. 329 ust. 1 PR </w:t>
      </w:r>
      <w:r w:rsidRPr="00500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500539">
        <w:rPr>
          <w:rFonts w:ascii="Times New Roman" w:hAnsi="Times New Roman" w:cs="Times New Roman"/>
          <w:sz w:val="24"/>
          <w:szCs w:val="24"/>
        </w:rPr>
        <w:t>dniem zakończenia postępowania albo uprawomocnienia się postanowienia o umorzeniu postępowania dłużnik odzyskuje prawo zarządu majątkiem, jeżeli był go pozbawiony lub było ono ograniczone, chyba że układ stanowi inaczej.</w:t>
      </w:r>
      <w:r>
        <w:rPr>
          <w:rFonts w:ascii="Times New Roman" w:hAnsi="Times New Roman" w:cs="Times New Roman"/>
          <w:sz w:val="24"/>
          <w:szCs w:val="24"/>
        </w:rPr>
        <w:t xml:space="preserve"> Na mocy art. 330 ust. 1 z</w:t>
      </w:r>
      <w:r w:rsidRPr="00500539">
        <w:rPr>
          <w:rFonts w:ascii="Times New Roman" w:hAnsi="Times New Roman" w:cs="Times New Roman"/>
          <w:sz w:val="24"/>
          <w:szCs w:val="24"/>
        </w:rPr>
        <w:t>arządca po uprawomocnieniu się postanowienia o umorzeniu postępowania restrukturyzacyjnego albo postanowienia odmawiającego zatwierdzenia układu wydaje niezwłocznie dłużnikowi jego majątek, księgi, korespondencję i dokumenty.</w:t>
      </w:r>
      <w:r>
        <w:rPr>
          <w:rFonts w:ascii="Times New Roman" w:hAnsi="Times New Roman" w:cs="Times New Roman"/>
          <w:sz w:val="24"/>
          <w:szCs w:val="24"/>
        </w:rPr>
        <w:t xml:space="preserve"> Dotyczy to również sytuacji po </w:t>
      </w:r>
      <w:r w:rsidRPr="00500539">
        <w:rPr>
          <w:rFonts w:ascii="Times New Roman" w:hAnsi="Times New Roman" w:cs="Times New Roman"/>
          <w:sz w:val="24"/>
          <w:szCs w:val="24"/>
        </w:rPr>
        <w:t>uprawomocnieni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00539">
        <w:rPr>
          <w:rFonts w:ascii="Times New Roman" w:hAnsi="Times New Roman" w:cs="Times New Roman"/>
          <w:sz w:val="24"/>
          <w:szCs w:val="24"/>
        </w:rPr>
        <w:t xml:space="preserve"> się postanowienia o zatwierdzeniu układu, chyba że postanowienia układu stanowią inaczej</w:t>
      </w:r>
      <w:r w:rsidR="00CE347C">
        <w:rPr>
          <w:rFonts w:ascii="Times New Roman" w:hAnsi="Times New Roman" w:cs="Times New Roman"/>
          <w:sz w:val="24"/>
          <w:szCs w:val="24"/>
        </w:rPr>
        <w:t>.</w:t>
      </w:r>
    </w:p>
    <w:p w14:paraId="2E5B5CF9" w14:textId="7E089F5E" w:rsidR="00CE347C" w:rsidRDefault="00CE347C" w:rsidP="0050053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E347C">
        <w:rPr>
          <w:rFonts w:ascii="Times New Roman" w:hAnsi="Times New Roman" w:cs="Times New Roman"/>
          <w:sz w:val="24"/>
          <w:szCs w:val="24"/>
        </w:rPr>
        <w:t>eżeli dłużnik nie odbierze swojego majątku w terminie wyznaczonym przez zarządcę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CE347C">
        <w:rPr>
          <w:rFonts w:ascii="Times New Roman" w:hAnsi="Times New Roman" w:cs="Times New Roman"/>
          <w:sz w:val="24"/>
          <w:szCs w:val="24"/>
        </w:rPr>
        <w:t>ąd zarządza likwidację majątku i określa sposób likwidacji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347C"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CE347C">
        <w:rPr>
          <w:rFonts w:ascii="Times New Roman" w:hAnsi="Times New Roman" w:cs="Times New Roman"/>
          <w:sz w:val="24"/>
          <w:szCs w:val="24"/>
        </w:rPr>
        <w:t>dłużnik nie odbiera ksiąg, korespondencji lub dokumentów w terminie wyznaczonym przez zarządcę, zarządca oddaje je na przechowanie na koszt dłużnika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0D473" w14:textId="77777777" w:rsidR="001B369F" w:rsidRPr="00CE347C" w:rsidRDefault="001B369F" w:rsidP="00546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69F" w:rsidRPr="00CE34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B7CD" w14:textId="77777777" w:rsidR="00855208" w:rsidRDefault="00855208" w:rsidP="00D2000C">
      <w:pPr>
        <w:spacing w:after="0" w:line="240" w:lineRule="auto"/>
      </w:pPr>
      <w:r>
        <w:separator/>
      </w:r>
    </w:p>
  </w:endnote>
  <w:endnote w:type="continuationSeparator" w:id="0">
    <w:p w14:paraId="65659214" w14:textId="77777777" w:rsidR="00855208" w:rsidRDefault="00855208" w:rsidP="00D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368011"/>
      <w:docPartObj>
        <w:docPartGallery w:val="Page Numbers (Bottom of Page)"/>
        <w:docPartUnique/>
      </w:docPartObj>
    </w:sdtPr>
    <w:sdtEndPr/>
    <w:sdtContent>
      <w:p w14:paraId="2FF07DC4" w14:textId="2C47A799" w:rsidR="00D2000C" w:rsidRDefault="00D200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1FE62" w14:textId="77777777" w:rsidR="00D2000C" w:rsidRDefault="00D20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82CF" w14:textId="77777777" w:rsidR="00855208" w:rsidRDefault="00855208" w:rsidP="00D2000C">
      <w:pPr>
        <w:spacing w:after="0" w:line="240" w:lineRule="auto"/>
      </w:pPr>
      <w:r>
        <w:separator/>
      </w:r>
    </w:p>
  </w:footnote>
  <w:footnote w:type="continuationSeparator" w:id="0">
    <w:p w14:paraId="5F701CBC" w14:textId="77777777" w:rsidR="00855208" w:rsidRDefault="00855208" w:rsidP="00D2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141"/>
    <w:multiLevelType w:val="hybridMultilevel"/>
    <w:tmpl w:val="EB605F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B1A8A"/>
    <w:multiLevelType w:val="hybridMultilevel"/>
    <w:tmpl w:val="69601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63846"/>
    <w:multiLevelType w:val="hybridMultilevel"/>
    <w:tmpl w:val="3CBEB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1591"/>
    <w:multiLevelType w:val="hybridMultilevel"/>
    <w:tmpl w:val="A1DAAFB2"/>
    <w:lvl w:ilvl="0" w:tplc="6826D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105EF4"/>
    <w:multiLevelType w:val="hybridMultilevel"/>
    <w:tmpl w:val="2B4A416C"/>
    <w:lvl w:ilvl="0" w:tplc="CF6AAF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CE"/>
    <w:rsid w:val="001B369F"/>
    <w:rsid w:val="004847EC"/>
    <w:rsid w:val="00500539"/>
    <w:rsid w:val="00524D06"/>
    <w:rsid w:val="00546F96"/>
    <w:rsid w:val="00546FDE"/>
    <w:rsid w:val="005562F8"/>
    <w:rsid w:val="005801C6"/>
    <w:rsid w:val="005A4C22"/>
    <w:rsid w:val="00600360"/>
    <w:rsid w:val="006432AE"/>
    <w:rsid w:val="00717DC3"/>
    <w:rsid w:val="007679F9"/>
    <w:rsid w:val="00855208"/>
    <w:rsid w:val="00BB0DAF"/>
    <w:rsid w:val="00CA4776"/>
    <w:rsid w:val="00CE347C"/>
    <w:rsid w:val="00D2000C"/>
    <w:rsid w:val="00D745CE"/>
    <w:rsid w:val="00DD6150"/>
    <w:rsid w:val="00DF3BF7"/>
    <w:rsid w:val="00E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281"/>
  <w15:chartTrackingRefBased/>
  <w15:docId w15:val="{C7CF8ADF-8FE1-4228-A86C-99184C8B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5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00C"/>
  </w:style>
  <w:style w:type="paragraph" w:styleId="Stopka">
    <w:name w:val="footer"/>
    <w:basedOn w:val="Normalny"/>
    <w:link w:val="StopkaZnak"/>
    <w:uiPriority w:val="99"/>
    <w:unhideWhenUsed/>
    <w:rsid w:val="00D2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742</Words>
  <Characters>5263</Characters>
  <Application>Microsoft Office Word</Application>
  <DocSecurity>0</DocSecurity>
  <Lines>81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Horosz</dc:creator>
  <cp:keywords/>
  <dc:description/>
  <cp:lastModifiedBy>Piotr Horosz</cp:lastModifiedBy>
  <cp:revision>10</cp:revision>
  <dcterms:created xsi:type="dcterms:W3CDTF">2021-05-17T13:17:00Z</dcterms:created>
  <dcterms:modified xsi:type="dcterms:W3CDTF">2022-02-04T13:14:00Z</dcterms:modified>
</cp:coreProperties>
</file>