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AEAD" w14:textId="77777777" w:rsidR="00A06BA5" w:rsidRPr="00A06BA5" w:rsidRDefault="00A06BA5" w:rsidP="002E5941">
      <w:pPr>
        <w:spacing w:after="0" w:line="360" w:lineRule="auto"/>
        <w:jc w:val="both"/>
        <w:rPr>
          <w:rFonts w:ascii="Times New Roman" w:eastAsia="Calibri" w:hAnsi="Times New Roman" w:cs="Times New Roman"/>
          <w:sz w:val="24"/>
          <w:szCs w:val="24"/>
        </w:rPr>
      </w:pPr>
    </w:p>
    <w:p w14:paraId="1E48022C" w14:textId="4CD8C1EA" w:rsidR="00453E6B" w:rsidRPr="00453E6B" w:rsidRDefault="00453E6B" w:rsidP="00453E6B">
      <w:pPr>
        <w:spacing w:after="0" w:line="360" w:lineRule="auto"/>
        <w:jc w:val="both"/>
        <w:rPr>
          <w:rFonts w:ascii="Times New Roman" w:eastAsia="Calibri" w:hAnsi="Times New Roman" w:cs="Times New Roman"/>
          <w:b/>
          <w:bCs/>
          <w:sz w:val="24"/>
          <w:szCs w:val="24"/>
        </w:rPr>
      </w:pPr>
      <w:r w:rsidRPr="00453E6B">
        <w:rPr>
          <w:rFonts w:ascii="Times New Roman" w:eastAsia="Calibri" w:hAnsi="Times New Roman" w:cs="Times New Roman"/>
          <w:b/>
          <w:bCs/>
          <w:sz w:val="24"/>
          <w:szCs w:val="24"/>
        </w:rPr>
        <w:t xml:space="preserve">PRAWO RESTRUKTURYZACYJNE Cz. 10 - POSTĘPOWANIE SANACYJNE  vol. </w:t>
      </w:r>
      <w:r>
        <w:rPr>
          <w:rFonts w:ascii="Times New Roman" w:eastAsia="Calibri" w:hAnsi="Times New Roman" w:cs="Times New Roman"/>
          <w:b/>
          <w:bCs/>
          <w:sz w:val="24"/>
          <w:szCs w:val="24"/>
        </w:rPr>
        <w:t>2</w:t>
      </w:r>
    </w:p>
    <w:p w14:paraId="42A58CCF" w14:textId="5C4A0BA5" w:rsidR="00DE0C71" w:rsidRDefault="00DE0C71" w:rsidP="002E5941">
      <w:pPr>
        <w:spacing w:after="0" w:line="360" w:lineRule="auto"/>
        <w:jc w:val="both"/>
        <w:rPr>
          <w:rFonts w:ascii="Times New Roman" w:eastAsia="Calibri" w:hAnsi="Times New Roman" w:cs="Times New Roman"/>
          <w:b/>
          <w:bCs/>
          <w:sz w:val="24"/>
          <w:szCs w:val="24"/>
        </w:rPr>
      </w:pPr>
    </w:p>
    <w:p w14:paraId="1FADB360" w14:textId="77777777" w:rsidR="00330DF0" w:rsidRDefault="00330DF0" w:rsidP="002E5941">
      <w:pPr>
        <w:spacing w:after="0" w:line="360" w:lineRule="auto"/>
        <w:jc w:val="both"/>
        <w:rPr>
          <w:rFonts w:ascii="Times New Roman" w:eastAsia="Calibri" w:hAnsi="Times New Roman" w:cs="Times New Roman"/>
          <w:b/>
          <w:bCs/>
          <w:sz w:val="24"/>
          <w:szCs w:val="24"/>
        </w:rPr>
      </w:pPr>
    </w:p>
    <w:p w14:paraId="06A1DB35" w14:textId="4E418C5C" w:rsidR="00306158" w:rsidRDefault="00330DF0" w:rsidP="00330DF0">
      <w:pPr>
        <w:pStyle w:val="Akapitzlist"/>
        <w:numPr>
          <w:ilvl w:val="0"/>
          <w:numId w:val="10"/>
        </w:num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Plan restrukturyzacyjny i jego znaczenie</w:t>
      </w:r>
    </w:p>
    <w:p w14:paraId="43B27AD7" w14:textId="73AE9CAD" w:rsidR="00330DF0" w:rsidRPr="00330DF0" w:rsidRDefault="00330DF0" w:rsidP="00330DF0">
      <w:pPr>
        <w:spacing w:after="0" w:line="360" w:lineRule="auto"/>
        <w:jc w:val="both"/>
        <w:rPr>
          <w:rFonts w:ascii="Times New Roman" w:eastAsia="Calibri" w:hAnsi="Times New Roman" w:cs="Times New Roman"/>
          <w:sz w:val="24"/>
          <w:szCs w:val="24"/>
        </w:rPr>
      </w:pPr>
    </w:p>
    <w:p w14:paraId="5DD391E5" w14:textId="77777777" w:rsidR="0031145B" w:rsidRDefault="00330DF0" w:rsidP="00330DF0">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Kluczowym dokumentem w postępowaniu sanacyjnym jest plan restrukturyzacyjny. Zawiera on nie tylko propozycje układowe, określające planowany sposób restrukturyzacji zobowiązań dłużnika, ale przede wszystkim opis planowanych działań sanacyjnych – a zatem całego zespołu </w:t>
      </w:r>
      <w:r w:rsidRPr="00330DF0">
        <w:rPr>
          <w:rFonts w:ascii="Times New Roman" w:eastAsia="Calibri" w:hAnsi="Times New Roman" w:cs="Times New Roman"/>
          <w:sz w:val="24"/>
          <w:szCs w:val="24"/>
        </w:rPr>
        <w:t>czynności prawn</w:t>
      </w:r>
      <w:r>
        <w:rPr>
          <w:rFonts w:ascii="Times New Roman" w:eastAsia="Calibri" w:hAnsi="Times New Roman" w:cs="Times New Roman"/>
          <w:sz w:val="24"/>
          <w:szCs w:val="24"/>
        </w:rPr>
        <w:t>ych</w:t>
      </w:r>
      <w:r w:rsidRPr="00330DF0">
        <w:rPr>
          <w:rFonts w:ascii="Times New Roman" w:eastAsia="Calibri" w:hAnsi="Times New Roman" w:cs="Times New Roman"/>
          <w:sz w:val="24"/>
          <w:szCs w:val="24"/>
        </w:rPr>
        <w:t xml:space="preserve"> i faktyczn</w:t>
      </w:r>
      <w:r>
        <w:rPr>
          <w:rFonts w:ascii="Times New Roman" w:eastAsia="Calibri" w:hAnsi="Times New Roman" w:cs="Times New Roman"/>
          <w:sz w:val="24"/>
          <w:szCs w:val="24"/>
        </w:rPr>
        <w:t>ych</w:t>
      </w:r>
      <w:r w:rsidRPr="00330DF0">
        <w:rPr>
          <w:rFonts w:ascii="Times New Roman" w:eastAsia="Calibri" w:hAnsi="Times New Roman" w:cs="Times New Roman"/>
          <w:sz w:val="24"/>
          <w:szCs w:val="24"/>
        </w:rPr>
        <w:t>, zmierzają</w:t>
      </w:r>
      <w:r>
        <w:rPr>
          <w:rFonts w:ascii="Times New Roman" w:eastAsia="Calibri" w:hAnsi="Times New Roman" w:cs="Times New Roman"/>
          <w:sz w:val="24"/>
          <w:szCs w:val="24"/>
        </w:rPr>
        <w:t>cych</w:t>
      </w:r>
      <w:r w:rsidRPr="00330DF0">
        <w:rPr>
          <w:rFonts w:ascii="Times New Roman" w:eastAsia="Calibri" w:hAnsi="Times New Roman" w:cs="Times New Roman"/>
          <w:sz w:val="24"/>
          <w:szCs w:val="24"/>
        </w:rPr>
        <w:t xml:space="preserve"> do poprawy sytuacji ekonomicznej dłużnika i mają</w:t>
      </w:r>
      <w:r>
        <w:rPr>
          <w:rFonts w:ascii="Times New Roman" w:eastAsia="Calibri" w:hAnsi="Times New Roman" w:cs="Times New Roman"/>
          <w:sz w:val="24"/>
          <w:szCs w:val="24"/>
        </w:rPr>
        <w:t>cych</w:t>
      </w:r>
      <w:r w:rsidRPr="00330DF0">
        <w:rPr>
          <w:rFonts w:ascii="Times New Roman" w:eastAsia="Calibri" w:hAnsi="Times New Roman" w:cs="Times New Roman"/>
          <w:sz w:val="24"/>
          <w:szCs w:val="24"/>
        </w:rPr>
        <w:t xml:space="preserve"> na celu przywrócenie dłużnikowi zdolności do wykonywania zobowiązań</w:t>
      </w:r>
      <w:r>
        <w:rPr>
          <w:rFonts w:ascii="Times New Roman" w:eastAsia="Calibri" w:hAnsi="Times New Roman" w:cs="Times New Roman"/>
          <w:sz w:val="24"/>
          <w:szCs w:val="24"/>
        </w:rPr>
        <w:t xml:space="preserve">. </w:t>
      </w:r>
      <w:r w:rsidR="0031145B">
        <w:rPr>
          <w:rFonts w:ascii="Times New Roman" w:eastAsia="Calibri" w:hAnsi="Times New Roman" w:cs="Times New Roman"/>
          <w:sz w:val="24"/>
          <w:szCs w:val="24"/>
        </w:rPr>
        <w:t xml:space="preserve">Plan restrukturyzacyjny określa również cel i kolejność podejmowanych działań sanacyjnych. </w:t>
      </w:r>
    </w:p>
    <w:p w14:paraId="5F739B12" w14:textId="42E62295" w:rsidR="0031145B" w:rsidRDefault="0031145B" w:rsidP="0031145B">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gdy </w:t>
      </w:r>
      <w:r w:rsidRPr="0031145B">
        <w:rPr>
          <w:rFonts w:ascii="Times New Roman" w:eastAsia="Calibri" w:hAnsi="Times New Roman" w:cs="Times New Roman"/>
          <w:sz w:val="24"/>
          <w:szCs w:val="24"/>
        </w:rPr>
        <w:t xml:space="preserve">w postępowaniu sanacyjnym przewiduje się redukcję zatrudnienia z wykorzystaniem uprawnień zarządcy, </w:t>
      </w:r>
      <w:r>
        <w:rPr>
          <w:rFonts w:ascii="Times New Roman" w:eastAsia="Calibri" w:hAnsi="Times New Roman" w:cs="Times New Roman"/>
          <w:sz w:val="24"/>
          <w:szCs w:val="24"/>
        </w:rPr>
        <w:t xml:space="preserve">wówczas zgodnie z art. 314 PR, </w:t>
      </w:r>
      <w:r w:rsidRPr="0031145B">
        <w:rPr>
          <w:rFonts w:ascii="Times New Roman" w:eastAsia="Calibri" w:hAnsi="Times New Roman" w:cs="Times New Roman"/>
          <w:sz w:val="24"/>
          <w:szCs w:val="24"/>
        </w:rPr>
        <w:t>w planie restrukturyzacyjnym dodatkowo wskazuje się zasady zwalniania pracowników, w szczególności liczbę pracowników objętych zamiarem zwolnienia, okres, w którym nastąpi takie zwolnienie, oraz proponowane kryteria zwalniania pracowników</w:t>
      </w:r>
      <w:r>
        <w:rPr>
          <w:rFonts w:ascii="Times New Roman" w:eastAsia="Calibri" w:hAnsi="Times New Roman" w:cs="Times New Roman"/>
          <w:sz w:val="24"/>
          <w:szCs w:val="24"/>
        </w:rPr>
        <w:t>. Jeżeli w planie restrukturyzacyjnym przewiduje się</w:t>
      </w:r>
      <w:r w:rsidRPr="0031145B">
        <w:t xml:space="preserve"> </w:t>
      </w:r>
      <w:r w:rsidRPr="0031145B">
        <w:rPr>
          <w:rFonts w:ascii="Times New Roman" w:eastAsia="Calibri" w:hAnsi="Times New Roman" w:cs="Times New Roman"/>
          <w:sz w:val="24"/>
          <w:szCs w:val="24"/>
        </w:rPr>
        <w:t>odstąpi</w:t>
      </w:r>
      <w:r>
        <w:rPr>
          <w:rFonts w:ascii="Times New Roman" w:eastAsia="Calibri" w:hAnsi="Times New Roman" w:cs="Times New Roman"/>
          <w:sz w:val="24"/>
          <w:szCs w:val="24"/>
        </w:rPr>
        <w:t>enie przez zarządcę</w:t>
      </w:r>
      <w:r w:rsidRPr="0031145B">
        <w:rPr>
          <w:rFonts w:ascii="Times New Roman" w:eastAsia="Calibri" w:hAnsi="Times New Roman" w:cs="Times New Roman"/>
          <w:sz w:val="24"/>
          <w:szCs w:val="24"/>
        </w:rPr>
        <w:t xml:space="preserve"> od um</w:t>
      </w:r>
      <w:r>
        <w:rPr>
          <w:rFonts w:ascii="Times New Roman" w:eastAsia="Calibri" w:hAnsi="Times New Roman" w:cs="Times New Roman"/>
          <w:sz w:val="24"/>
          <w:szCs w:val="24"/>
        </w:rPr>
        <w:t xml:space="preserve">ów wzajemnych, lub </w:t>
      </w:r>
      <w:r w:rsidRPr="0031145B">
        <w:rPr>
          <w:rFonts w:ascii="Times New Roman" w:eastAsia="Calibri" w:hAnsi="Times New Roman" w:cs="Times New Roman"/>
          <w:sz w:val="24"/>
          <w:szCs w:val="24"/>
        </w:rPr>
        <w:t xml:space="preserve"> </w:t>
      </w:r>
      <w:r>
        <w:rPr>
          <w:rFonts w:ascii="Times New Roman" w:eastAsia="Calibri" w:hAnsi="Times New Roman" w:cs="Times New Roman"/>
          <w:sz w:val="24"/>
          <w:szCs w:val="24"/>
        </w:rPr>
        <w:t>zbycie przez zarządcę s</w:t>
      </w:r>
      <w:r w:rsidRPr="0031145B">
        <w:rPr>
          <w:rFonts w:ascii="Times New Roman" w:eastAsia="Calibri" w:hAnsi="Times New Roman" w:cs="Times New Roman"/>
          <w:sz w:val="24"/>
          <w:szCs w:val="24"/>
        </w:rPr>
        <w:t>kładnik</w:t>
      </w:r>
      <w:r>
        <w:rPr>
          <w:rFonts w:ascii="Times New Roman" w:eastAsia="Calibri" w:hAnsi="Times New Roman" w:cs="Times New Roman"/>
          <w:sz w:val="24"/>
          <w:szCs w:val="24"/>
        </w:rPr>
        <w:t>ów</w:t>
      </w:r>
      <w:r w:rsidRPr="0031145B">
        <w:rPr>
          <w:rFonts w:ascii="Times New Roman" w:eastAsia="Calibri" w:hAnsi="Times New Roman" w:cs="Times New Roman"/>
          <w:sz w:val="24"/>
          <w:szCs w:val="24"/>
        </w:rPr>
        <w:t xml:space="preserve"> mienia należącego do dłużnika i wchodzącego w skład masy sanacyjnej,</w:t>
      </w:r>
      <w:r>
        <w:rPr>
          <w:rFonts w:ascii="Times New Roman" w:eastAsia="Calibri" w:hAnsi="Times New Roman" w:cs="Times New Roman"/>
          <w:sz w:val="24"/>
          <w:szCs w:val="24"/>
        </w:rPr>
        <w:t xml:space="preserve"> wówczas plan restrukturyzacyjny powinien także określać</w:t>
      </w:r>
      <w:r w:rsidRPr="0031145B">
        <w:rPr>
          <w:rFonts w:ascii="Times New Roman" w:eastAsia="Calibri" w:hAnsi="Times New Roman" w:cs="Times New Roman"/>
          <w:sz w:val="24"/>
          <w:szCs w:val="24"/>
        </w:rPr>
        <w:t xml:space="preserve"> mienie podlegające zbyciu oraz umowy, od których zarządca zamierza odstąpić.</w:t>
      </w:r>
    </w:p>
    <w:p w14:paraId="71781960" w14:textId="6FF77347" w:rsidR="0039717A" w:rsidRDefault="00B37D61" w:rsidP="0039717A">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Plan restrukturyzacyjny, zgodnie z a</w:t>
      </w:r>
      <w:r w:rsidRPr="00330DF0">
        <w:rPr>
          <w:rFonts w:ascii="Times New Roman" w:eastAsia="Calibri" w:hAnsi="Times New Roman" w:cs="Times New Roman"/>
          <w:sz w:val="24"/>
          <w:szCs w:val="24"/>
        </w:rPr>
        <w:t>rt. 313</w:t>
      </w:r>
      <w:r>
        <w:rPr>
          <w:rFonts w:ascii="Times New Roman" w:eastAsia="Calibri" w:hAnsi="Times New Roman" w:cs="Times New Roman"/>
          <w:sz w:val="24"/>
          <w:szCs w:val="24"/>
        </w:rPr>
        <w:t xml:space="preserve"> ust. 1 PR </w:t>
      </w:r>
      <w:r w:rsidRPr="00330DF0">
        <w:rPr>
          <w:rFonts w:ascii="Times New Roman" w:eastAsia="Calibri" w:hAnsi="Times New Roman" w:cs="Times New Roman"/>
          <w:sz w:val="24"/>
          <w:szCs w:val="24"/>
        </w:rPr>
        <w:t xml:space="preserve">składa sędziemu- -komisarzowi </w:t>
      </w:r>
      <w:r>
        <w:rPr>
          <w:rFonts w:ascii="Times New Roman" w:eastAsia="Calibri" w:hAnsi="Times New Roman" w:cs="Times New Roman"/>
          <w:sz w:val="24"/>
          <w:szCs w:val="24"/>
        </w:rPr>
        <w:t>z</w:t>
      </w:r>
      <w:r w:rsidRPr="00330DF0">
        <w:rPr>
          <w:rFonts w:ascii="Times New Roman" w:eastAsia="Calibri" w:hAnsi="Times New Roman" w:cs="Times New Roman"/>
          <w:sz w:val="24"/>
          <w:szCs w:val="24"/>
        </w:rPr>
        <w:t>arządca w terminie trzydziestu dni od dnia otwarcia postępowania sanacyjnego</w:t>
      </w:r>
      <w:r>
        <w:rPr>
          <w:rFonts w:ascii="Times New Roman" w:eastAsia="Calibri" w:hAnsi="Times New Roman" w:cs="Times New Roman"/>
          <w:sz w:val="24"/>
          <w:szCs w:val="24"/>
        </w:rPr>
        <w:t xml:space="preserve"> (w</w:t>
      </w:r>
      <w:r w:rsidRPr="00330DF0">
        <w:rPr>
          <w:rFonts w:ascii="Times New Roman" w:eastAsia="Calibri" w:hAnsi="Times New Roman" w:cs="Times New Roman"/>
          <w:sz w:val="24"/>
          <w:szCs w:val="24"/>
        </w:rPr>
        <w:t xml:space="preserve"> uzasadnionych przypadkach termin do złożenia planu restrukturyzacyjnego może zostać przedłużony przez sędziego-komisarza do trzech miesięcy</w:t>
      </w:r>
      <w:r>
        <w:rPr>
          <w:rFonts w:ascii="Times New Roman" w:eastAsia="Calibri" w:hAnsi="Times New Roman" w:cs="Times New Roman"/>
          <w:sz w:val="24"/>
          <w:szCs w:val="24"/>
        </w:rPr>
        <w:t xml:space="preserve">). Zarządcą sporządza plan restrukturyzacyjny </w:t>
      </w:r>
      <w:r w:rsidRPr="00330DF0">
        <w:rPr>
          <w:rFonts w:ascii="Times New Roman" w:eastAsia="Calibri" w:hAnsi="Times New Roman" w:cs="Times New Roman"/>
          <w:sz w:val="24"/>
          <w:szCs w:val="24"/>
        </w:rPr>
        <w:t>w porozumieniu z dłużnikiem</w:t>
      </w:r>
      <w:r w:rsidR="00647521">
        <w:rPr>
          <w:rFonts w:ascii="Times New Roman" w:eastAsia="Calibri" w:hAnsi="Times New Roman" w:cs="Times New Roman"/>
          <w:sz w:val="24"/>
          <w:szCs w:val="24"/>
        </w:rPr>
        <w:t>.</w:t>
      </w:r>
      <w:r w:rsidRPr="00330DF0">
        <w:rPr>
          <w:rFonts w:ascii="Times New Roman" w:eastAsia="Calibri" w:hAnsi="Times New Roman" w:cs="Times New Roman"/>
          <w:sz w:val="24"/>
          <w:szCs w:val="24"/>
        </w:rPr>
        <w:t xml:space="preserve"> Jeżeli zarządca nie porozumie się z dłużnikiem co do treści planu, składa plan, dołączając zastrzeżenia dłużnika i uzasadnienie przyczyn, dla których tych zastrzeżeń nie uwzględnił. </w:t>
      </w:r>
    </w:p>
    <w:p w14:paraId="52264510" w14:textId="36324003" w:rsidR="00330DF0" w:rsidRDefault="000615FF" w:rsidP="0016196F">
      <w:pPr>
        <w:spacing w:after="0" w:line="360" w:lineRule="auto"/>
        <w:ind w:firstLine="360"/>
        <w:jc w:val="both"/>
        <w:rPr>
          <w:rFonts w:ascii="Times New Roman" w:eastAsia="Calibri" w:hAnsi="Times New Roman" w:cs="Times New Roman"/>
          <w:sz w:val="24"/>
          <w:szCs w:val="24"/>
        </w:rPr>
      </w:pPr>
      <w:r w:rsidRPr="000615FF">
        <w:rPr>
          <w:rFonts w:ascii="Times New Roman" w:eastAsia="Calibri" w:hAnsi="Times New Roman" w:cs="Times New Roman"/>
          <w:sz w:val="24"/>
          <w:szCs w:val="24"/>
        </w:rPr>
        <w:t>Postępowanie sanacyjne różni się od innych postępowań restrukturyzacyjnych także tym, że działania restrukturyzacyjne</w:t>
      </w:r>
      <w:r>
        <w:rPr>
          <w:rFonts w:ascii="Times New Roman" w:eastAsia="Calibri" w:hAnsi="Times New Roman" w:cs="Times New Roman"/>
          <w:sz w:val="24"/>
          <w:szCs w:val="24"/>
        </w:rPr>
        <w:t xml:space="preserve"> – określone w planie restrukturyzacyjnym - są</w:t>
      </w:r>
      <w:r w:rsidRPr="000615FF">
        <w:rPr>
          <w:rFonts w:ascii="Times New Roman" w:eastAsia="Calibri" w:hAnsi="Times New Roman" w:cs="Times New Roman"/>
          <w:sz w:val="24"/>
          <w:szCs w:val="24"/>
        </w:rPr>
        <w:t xml:space="preserve"> podjęte w całości lub części przed głosowaniem nad układem. Wierzyciele </w:t>
      </w:r>
      <w:r>
        <w:rPr>
          <w:rFonts w:ascii="Times New Roman" w:eastAsia="Calibri" w:hAnsi="Times New Roman" w:cs="Times New Roman"/>
          <w:sz w:val="24"/>
          <w:szCs w:val="24"/>
        </w:rPr>
        <w:t>mają zatem</w:t>
      </w:r>
      <w:r w:rsidRPr="000615FF">
        <w:rPr>
          <w:rFonts w:ascii="Times New Roman" w:eastAsia="Calibri" w:hAnsi="Times New Roman" w:cs="Times New Roman"/>
          <w:sz w:val="24"/>
          <w:szCs w:val="24"/>
        </w:rPr>
        <w:t xml:space="preserve"> większą wiedzę co do realności propozycji układowych i możliwości regulowania zobowiązań przez dłużnika</w:t>
      </w:r>
      <w:r>
        <w:rPr>
          <w:rFonts w:ascii="Times New Roman" w:eastAsia="Calibri" w:hAnsi="Times New Roman" w:cs="Times New Roman"/>
          <w:sz w:val="24"/>
          <w:szCs w:val="24"/>
        </w:rPr>
        <w:t xml:space="preserve">. </w:t>
      </w:r>
      <w:r w:rsidR="0031145B">
        <w:rPr>
          <w:rFonts w:ascii="Times New Roman" w:eastAsia="Calibri" w:hAnsi="Times New Roman" w:cs="Times New Roman"/>
          <w:sz w:val="24"/>
          <w:szCs w:val="24"/>
        </w:rPr>
        <w:t>Plan restrukturyzacyjny realizowany jest już w toku postępowania sanacyjnego</w:t>
      </w:r>
      <w:r>
        <w:rPr>
          <w:rFonts w:ascii="Times New Roman" w:eastAsia="Calibri" w:hAnsi="Times New Roman" w:cs="Times New Roman"/>
          <w:sz w:val="24"/>
          <w:szCs w:val="24"/>
        </w:rPr>
        <w:t xml:space="preserve">, stąd powinien </w:t>
      </w:r>
      <w:r>
        <w:rPr>
          <w:rFonts w:ascii="Times New Roman" w:eastAsia="Calibri" w:hAnsi="Times New Roman" w:cs="Times New Roman"/>
          <w:sz w:val="24"/>
          <w:szCs w:val="24"/>
        </w:rPr>
        <w:lastRenderedPageBreak/>
        <w:t>również określać, czy ma być przed ukończeniem postępowania sanacyjnego zrealizowany w całości, czy – i w jakiej – części.</w:t>
      </w:r>
      <w:r w:rsidR="0016196F">
        <w:rPr>
          <w:rFonts w:ascii="Times New Roman" w:eastAsia="Calibri" w:hAnsi="Times New Roman" w:cs="Times New Roman"/>
          <w:sz w:val="24"/>
          <w:szCs w:val="24"/>
        </w:rPr>
        <w:t xml:space="preserve"> Zgodnie z a</w:t>
      </w:r>
      <w:r w:rsidR="0016196F" w:rsidRPr="0016196F">
        <w:rPr>
          <w:rFonts w:ascii="Times New Roman" w:eastAsia="Calibri" w:hAnsi="Times New Roman" w:cs="Times New Roman"/>
          <w:sz w:val="24"/>
          <w:szCs w:val="24"/>
        </w:rPr>
        <w:t>rt. 316</w:t>
      </w:r>
      <w:r w:rsidR="0016196F">
        <w:rPr>
          <w:rFonts w:ascii="Times New Roman" w:eastAsia="Calibri" w:hAnsi="Times New Roman" w:cs="Times New Roman"/>
          <w:sz w:val="24"/>
          <w:szCs w:val="24"/>
        </w:rPr>
        <w:t xml:space="preserve"> PR</w:t>
      </w:r>
      <w:r w:rsidR="0016196F" w:rsidRPr="0016196F">
        <w:rPr>
          <w:rFonts w:ascii="Times New Roman" w:eastAsia="Calibri" w:hAnsi="Times New Roman" w:cs="Times New Roman"/>
          <w:sz w:val="24"/>
          <w:szCs w:val="24"/>
        </w:rPr>
        <w:t xml:space="preserve"> </w:t>
      </w:r>
      <w:r w:rsidR="0016196F">
        <w:rPr>
          <w:rFonts w:ascii="Times New Roman" w:eastAsia="Calibri" w:hAnsi="Times New Roman" w:cs="Times New Roman"/>
          <w:sz w:val="24"/>
          <w:szCs w:val="24"/>
        </w:rPr>
        <w:t>z</w:t>
      </w:r>
      <w:r w:rsidR="0016196F" w:rsidRPr="0016196F">
        <w:rPr>
          <w:rFonts w:ascii="Times New Roman" w:eastAsia="Calibri" w:hAnsi="Times New Roman" w:cs="Times New Roman"/>
          <w:sz w:val="24"/>
          <w:szCs w:val="24"/>
        </w:rPr>
        <w:t>arządca realizuje plan restrukturyzacyjny po zatwierdzeniu przez sędziego-komisarza.</w:t>
      </w:r>
      <w:r w:rsidR="0031145B">
        <w:rPr>
          <w:rFonts w:ascii="Times New Roman" w:eastAsia="Calibri" w:hAnsi="Times New Roman" w:cs="Times New Roman"/>
          <w:sz w:val="24"/>
          <w:szCs w:val="24"/>
        </w:rPr>
        <w:t xml:space="preserve"> </w:t>
      </w:r>
      <w:r w:rsidR="0016196F">
        <w:rPr>
          <w:rFonts w:ascii="Times New Roman" w:eastAsia="Calibri" w:hAnsi="Times New Roman" w:cs="Times New Roman"/>
          <w:sz w:val="24"/>
          <w:szCs w:val="24"/>
        </w:rPr>
        <w:t>Jeszcze p</w:t>
      </w:r>
      <w:r w:rsidR="0016196F" w:rsidRPr="0016196F">
        <w:rPr>
          <w:rFonts w:ascii="Times New Roman" w:eastAsia="Calibri" w:hAnsi="Times New Roman" w:cs="Times New Roman"/>
          <w:sz w:val="24"/>
          <w:szCs w:val="24"/>
        </w:rPr>
        <w:t>rzed zatwierdzeniem planu restrukturyzacyjnego</w:t>
      </w:r>
      <w:r w:rsidR="0016196F">
        <w:rPr>
          <w:rFonts w:ascii="Times New Roman" w:eastAsia="Calibri" w:hAnsi="Times New Roman" w:cs="Times New Roman"/>
          <w:sz w:val="24"/>
          <w:szCs w:val="24"/>
        </w:rPr>
        <w:t>, na mocy art. 317 PR</w:t>
      </w:r>
      <w:r w:rsidR="0016196F" w:rsidRPr="0016196F">
        <w:rPr>
          <w:rFonts w:ascii="Times New Roman" w:eastAsia="Calibri" w:hAnsi="Times New Roman" w:cs="Times New Roman"/>
          <w:sz w:val="24"/>
          <w:szCs w:val="24"/>
        </w:rPr>
        <w:t xml:space="preserve"> zarządca może podjąć działania mające na celu przywrócenie dłużnikowi zdolności wykonywania zobowiązań, jeżeli brak ich niezwłocznego podjęcia istotnie utrudniłby możliwość osiągnięcia celu postępowania sanacyjnego. O zamiarze podjęcia działań zarządca informuje sędziego-komisarza, który może w terminie trzech dni zakazać podjęcia wskazanych działań.</w:t>
      </w:r>
      <w:r w:rsidR="0016196F">
        <w:rPr>
          <w:rFonts w:ascii="Times New Roman" w:eastAsia="Calibri" w:hAnsi="Times New Roman" w:cs="Times New Roman"/>
          <w:sz w:val="24"/>
          <w:szCs w:val="24"/>
        </w:rPr>
        <w:t xml:space="preserve"> </w:t>
      </w:r>
      <w:r w:rsidR="0016196F" w:rsidRPr="0016196F">
        <w:rPr>
          <w:rFonts w:ascii="Times New Roman" w:eastAsia="Calibri" w:hAnsi="Times New Roman" w:cs="Times New Roman"/>
          <w:sz w:val="24"/>
          <w:szCs w:val="24"/>
        </w:rPr>
        <w:t>Jeżeli plan restrukturyzacyjny zakłada udzielenie pomocy publicznej, do której udzielenia jest konieczna zgoda właściwego organu, zarządca niezwłocznie po zatwierdzeniu planu restrukturyzacyjnego wszczyna postępowanie w celu uzyskania takiej zgody</w:t>
      </w:r>
      <w:r w:rsidR="0016196F">
        <w:rPr>
          <w:rFonts w:ascii="Times New Roman" w:eastAsia="Calibri" w:hAnsi="Times New Roman" w:cs="Times New Roman"/>
          <w:sz w:val="24"/>
          <w:szCs w:val="24"/>
        </w:rPr>
        <w:t>.</w:t>
      </w:r>
    </w:p>
    <w:p w14:paraId="79E5D62F" w14:textId="62D70195" w:rsidR="0016196F" w:rsidRDefault="0016196F" w:rsidP="0016196F">
      <w:pPr>
        <w:spacing w:after="0" w:line="360" w:lineRule="auto"/>
        <w:ind w:firstLine="360"/>
        <w:jc w:val="both"/>
        <w:rPr>
          <w:rFonts w:ascii="Times New Roman" w:eastAsia="Calibri" w:hAnsi="Times New Roman" w:cs="Times New Roman"/>
          <w:sz w:val="24"/>
          <w:szCs w:val="24"/>
        </w:rPr>
      </w:pPr>
      <w:r w:rsidRPr="0016196F">
        <w:rPr>
          <w:rFonts w:ascii="Times New Roman" w:eastAsia="Calibri" w:hAnsi="Times New Roman" w:cs="Times New Roman"/>
          <w:sz w:val="24"/>
          <w:szCs w:val="24"/>
        </w:rPr>
        <w:t xml:space="preserve">Sędzia-komisarz </w:t>
      </w:r>
      <w:r>
        <w:rPr>
          <w:rFonts w:ascii="Times New Roman" w:eastAsia="Calibri" w:hAnsi="Times New Roman" w:cs="Times New Roman"/>
          <w:sz w:val="24"/>
          <w:szCs w:val="24"/>
        </w:rPr>
        <w:t xml:space="preserve">zatwierdza plan restrukturyzacyjny poprzez </w:t>
      </w:r>
      <w:r w:rsidRPr="0016196F">
        <w:rPr>
          <w:rFonts w:ascii="Times New Roman" w:eastAsia="Calibri" w:hAnsi="Times New Roman" w:cs="Times New Roman"/>
          <w:sz w:val="24"/>
          <w:szCs w:val="24"/>
        </w:rPr>
        <w:t>wydaje postanowieni</w:t>
      </w:r>
      <w:r>
        <w:rPr>
          <w:rFonts w:ascii="Times New Roman" w:eastAsia="Calibri" w:hAnsi="Times New Roman" w:cs="Times New Roman"/>
          <w:sz w:val="24"/>
          <w:szCs w:val="24"/>
        </w:rPr>
        <w:t>a,</w:t>
      </w:r>
      <w:r w:rsidRPr="0016196F">
        <w:rPr>
          <w:rFonts w:ascii="Times New Roman" w:eastAsia="Calibri" w:hAnsi="Times New Roman" w:cs="Times New Roman"/>
          <w:sz w:val="24"/>
          <w:szCs w:val="24"/>
        </w:rPr>
        <w:t xml:space="preserve"> po uzyskaniu opinii rady wierzycieli. Sędzia-komisarz może </w:t>
      </w:r>
      <w:r>
        <w:rPr>
          <w:rFonts w:ascii="Times New Roman" w:eastAsia="Calibri" w:hAnsi="Times New Roman" w:cs="Times New Roman"/>
          <w:sz w:val="24"/>
          <w:szCs w:val="24"/>
        </w:rPr>
        <w:t xml:space="preserve">przy tym </w:t>
      </w:r>
      <w:r w:rsidRPr="0016196F">
        <w:rPr>
          <w:rFonts w:ascii="Times New Roman" w:eastAsia="Calibri" w:hAnsi="Times New Roman" w:cs="Times New Roman"/>
          <w:sz w:val="24"/>
          <w:szCs w:val="24"/>
        </w:rPr>
        <w:t>wydać zakaz wdrażania niektórych działań przewidzianych w planie restrukturyzacyjnym oraz nakazać realizację innych działań, kierując się celami postępowania sanacyjnego i ochroną słusznych praw wierzycieli oraz osób trzecich niebędących uczestnikami postępowania.</w:t>
      </w:r>
    </w:p>
    <w:p w14:paraId="6D649D3F" w14:textId="462A73D4" w:rsidR="0016196F" w:rsidRDefault="0016196F" w:rsidP="0016196F">
      <w:pPr>
        <w:spacing w:after="0" w:line="360" w:lineRule="auto"/>
        <w:ind w:firstLine="360"/>
        <w:jc w:val="both"/>
        <w:rPr>
          <w:rFonts w:ascii="Times New Roman" w:eastAsia="Calibri" w:hAnsi="Times New Roman" w:cs="Times New Roman"/>
          <w:sz w:val="24"/>
          <w:szCs w:val="24"/>
        </w:rPr>
      </w:pPr>
      <w:r w:rsidRPr="0016196F">
        <w:rPr>
          <w:rFonts w:ascii="Times New Roman" w:eastAsia="Calibri" w:hAnsi="Times New Roman" w:cs="Times New Roman"/>
          <w:sz w:val="24"/>
          <w:szCs w:val="24"/>
        </w:rPr>
        <w:t>Plan restrukturyzacyjny może być zmieniany w toku jego realizacji, stosownie do zmiany okoliczności sprawy</w:t>
      </w:r>
      <w:r>
        <w:rPr>
          <w:rFonts w:ascii="Times New Roman" w:eastAsia="Calibri" w:hAnsi="Times New Roman" w:cs="Times New Roman"/>
          <w:sz w:val="24"/>
          <w:szCs w:val="24"/>
        </w:rPr>
        <w:t>. Zmiana planu restrukturyzacyjnego również wymaga zatwierdzenia przez sędziego komisarza.</w:t>
      </w:r>
    </w:p>
    <w:p w14:paraId="27586258" w14:textId="77777777" w:rsidR="00330DF0" w:rsidRPr="00330DF0" w:rsidRDefault="00330DF0" w:rsidP="00330DF0">
      <w:pPr>
        <w:spacing w:after="0" w:line="360" w:lineRule="auto"/>
        <w:jc w:val="both"/>
        <w:rPr>
          <w:rFonts w:ascii="Times New Roman" w:eastAsia="Calibri" w:hAnsi="Times New Roman" w:cs="Times New Roman"/>
          <w:sz w:val="24"/>
          <w:szCs w:val="24"/>
        </w:rPr>
      </w:pPr>
    </w:p>
    <w:p w14:paraId="036443D3" w14:textId="63A1B8F5" w:rsidR="00330DF0" w:rsidRPr="00330DF0" w:rsidRDefault="00330DF0" w:rsidP="00330DF0">
      <w:pPr>
        <w:pStyle w:val="Akapitzlist"/>
        <w:numPr>
          <w:ilvl w:val="0"/>
          <w:numId w:val="10"/>
        </w:num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Zbywanie składników masy sanacyjnej</w:t>
      </w:r>
    </w:p>
    <w:p w14:paraId="1BBE735B" w14:textId="23ABCBB1" w:rsidR="00306158" w:rsidRDefault="00306158" w:rsidP="002E5941">
      <w:pPr>
        <w:spacing w:after="0" w:line="360" w:lineRule="auto"/>
        <w:jc w:val="both"/>
        <w:rPr>
          <w:rFonts w:ascii="Times New Roman" w:eastAsia="Calibri" w:hAnsi="Times New Roman" w:cs="Times New Roman"/>
          <w:b/>
          <w:bCs/>
          <w:sz w:val="24"/>
          <w:szCs w:val="24"/>
        </w:rPr>
      </w:pPr>
    </w:p>
    <w:p w14:paraId="10B1FF4C" w14:textId="49C15C6A" w:rsidR="0016196F" w:rsidRPr="0016196F" w:rsidRDefault="0016196F" w:rsidP="0016196F">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Zgodnie z art. 323 ust. 1 PR s</w:t>
      </w:r>
      <w:r w:rsidRPr="0016196F">
        <w:rPr>
          <w:rFonts w:ascii="Times New Roman" w:eastAsia="Calibri" w:hAnsi="Times New Roman" w:cs="Times New Roman"/>
          <w:sz w:val="24"/>
          <w:szCs w:val="24"/>
        </w:rPr>
        <w:t>kładniki mienia należącego do dłużnika i wchodzącego w skład masy sanacyjnej mogą zostać zbyte przez zarządcę, za zgodą sędziego-komisarza, który określa warunki ich zbycia.</w:t>
      </w:r>
      <w:r>
        <w:rPr>
          <w:rFonts w:ascii="Times New Roman" w:eastAsia="Calibri" w:hAnsi="Times New Roman" w:cs="Times New Roman"/>
          <w:sz w:val="24"/>
          <w:szCs w:val="24"/>
        </w:rPr>
        <w:t xml:space="preserve"> </w:t>
      </w:r>
      <w:r w:rsidRPr="0016196F">
        <w:rPr>
          <w:rFonts w:ascii="Times New Roman" w:eastAsia="Calibri" w:hAnsi="Times New Roman" w:cs="Times New Roman"/>
          <w:sz w:val="24"/>
          <w:szCs w:val="24"/>
        </w:rPr>
        <w:t xml:space="preserve">Sprzedaż, </w:t>
      </w:r>
      <w:r>
        <w:rPr>
          <w:rFonts w:ascii="Times New Roman" w:eastAsia="Calibri" w:hAnsi="Times New Roman" w:cs="Times New Roman"/>
          <w:sz w:val="24"/>
          <w:szCs w:val="24"/>
        </w:rPr>
        <w:t>ta</w:t>
      </w:r>
      <w:r w:rsidRPr="0016196F">
        <w:rPr>
          <w:rFonts w:ascii="Times New Roman" w:eastAsia="Calibri" w:hAnsi="Times New Roman" w:cs="Times New Roman"/>
          <w:sz w:val="24"/>
          <w:szCs w:val="24"/>
        </w:rPr>
        <w:t xml:space="preserve"> wywołuj</w:t>
      </w:r>
      <w:r>
        <w:rPr>
          <w:rFonts w:ascii="Times New Roman" w:eastAsia="Calibri" w:hAnsi="Times New Roman" w:cs="Times New Roman"/>
          <w:sz w:val="24"/>
          <w:szCs w:val="24"/>
        </w:rPr>
        <w:t>e</w:t>
      </w:r>
      <w:r w:rsidRPr="0016196F">
        <w:rPr>
          <w:rFonts w:ascii="Times New Roman" w:eastAsia="Calibri" w:hAnsi="Times New Roman" w:cs="Times New Roman"/>
          <w:sz w:val="24"/>
          <w:szCs w:val="24"/>
        </w:rPr>
        <w:t xml:space="preserve"> takie skutki jak sprzedaż dokonana przez syndyka w postępowaniu upadłościowym</w:t>
      </w:r>
      <w:r>
        <w:rPr>
          <w:rFonts w:ascii="Times New Roman" w:eastAsia="Calibri" w:hAnsi="Times New Roman" w:cs="Times New Roman"/>
          <w:sz w:val="24"/>
          <w:szCs w:val="24"/>
        </w:rPr>
        <w:t xml:space="preserve">. Odnieść należy się zatem do art. </w:t>
      </w:r>
      <w:r w:rsidR="00F83B0D">
        <w:rPr>
          <w:rFonts w:ascii="Times New Roman" w:eastAsia="Calibri" w:hAnsi="Times New Roman" w:cs="Times New Roman"/>
          <w:sz w:val="24"/>
          <w:szCs w:val="24"/>
        </w:rPr>
        <w:t>313 ustawy Prawo Upadłościowe, zgodnie z którym</w:t>
      </w:r>
      <w:r w:rsidR="00F83B0D" w:rsidRPr="00F83B0D">
        <w:t xml:space="preserve"> </w:t>
      </w:r>
      <w:r w:rsidR="00F83B0D">
        <w:rPr>
          <w:rFonts w:ascii="Times New Roman" w:eastAsia="Calibri" w:hAnsi="Times New Roman" w:cs="Times New Roman"/>
          <w:sz w:val="24"/>
          <w:szCs w:val="24"/>
        </w:rPr>
        <w:t>s</w:t>
      </w:r>
      <w:r w:rsidR="00F83B0D" w:rsidRPr="00F83B0D">
        <w:rPr>
          <w:rFonts w:ascii="Times New Roman" w:eastAsia="Calibri" w:hAnsi="Times New Roman" w:cs="Times New Roman"/>
          <w:sz w:val="24"/>
          <w:szCs w:val="24"/>
        </w:rPr>
        <w:t>przedaż dokonana w postępowaniu upadłościowym ma skutki sprzedaży egzekucyjnej</w:t>
      </w:r>
      <w:r w:rsidR="00F83B0D">
        <w:rPr>
          <w:rFonts w:ascii="Times New Roman" w:eastAsia="Calibri" w:hAnsi="Times New Roman" w:cs="Times New Roman"/>
          <w:sz w:val="24"/>
          <w:szCs w:val="24"/>
        </w:rPr>
        <w:t xml:space="preserve"> – a zatem nabywca takich składników masy sanacyjnej nabywa je bez żadnych obciążeń.</w:t>
      </w:r>
      <w:r w:rsidR="00F83B0D" w:rsidRPr="00F83B0D">
        <w:rPr>
          <w:rFonts w:ascii="Times New Roman" w:eastAsia="Calibri" w:hAnsi="Times New Roman" w:cs="Times New Roman"/>
          <w:sz w:val="24"/>
          <w:szCs w:val="24"/>
        </w:rPr>
        <w:t xml:space="preserve"> Nabywca składników masy nie odpowiada</w:t>
      </w:r>
      <w:r w:rsidR="00F83B0D">
        <w:rPr>
          <w:rFonts w:ascii="Times New Roman" w:eastAsia="Calibri" w:hAnsi="Times New Roman" w:cs="Times New Roman"/>
          <w:sz w:val="24"/>
          <w:szCs w:val="24"/>
        </w:rPr>
        <w:t xml:space="preserve"> także</w:t>
      </w:r>
      <w:r w:rsidR="00F83B0D" w:rsidRPr="00F83B0D">
        <w:rPr>
          <w:rFonts w:ascii="Times New Roman" w:eastAsia="Calibri" w:hAnsi="Times New Roman" w:cs="Times New Roman"/>
          <w:sz w:val="24"/>
          <w:szCs w:val="24"/>
        </w:rPr>
        <w:t xml:space="preserve"> za zobowiązania podatkowe</w:t>
      </w:r>
      <w:r w:rsidR="00647521">
        <w:rPr>
          <w:rFonts w:ascii="Times New Roman" w:eastAsia="Calibri" w:hAnsi="Times New Roman" w:cs="Times New Roman"/>
          <w:sz w:val="24"/>
          <w:szCs w:val="24"/>
        </w:rPr>
        <w:t xml:space="preserve">, </w:t>
      </w:r>
      <w:r w:rsidR="00F83B0D" w:rsidRPr="00F83B0D">
        <w:rPr>
          <w:rFonts w:ascii="Times New Roman" w:eastAsia="Calibri" w:hAnsi="Times New Roman" w:cs="Times New Roman"/>
          <w:sz w:val="24"/>
          <w:szCs w:val="24"/>
        </w:rPr>
        <w:t>powstałe po o</w:t>
      </w:r>
      <w:r w:rsidR="00647521">
        <w:rPr>
          <w:rFonts w:ascii="Times New Roman" w:eastAsia="Calibri" w:hAnsi="Times New Roman" w:cs="Times New Roman"/>
          <w:sz w:val="24"/>
          <w:szCs w:val="24"/>
        </w:rPr>
        <w:t>twarciu postępowania</w:t>
      </w:r>
      <w:r w:rsidR="00F83B0D" w:rsidRPr="00F83B0D">
        <w:rPr>
          <w:rFonts w:ascii="Times New Roman" w:eastAsia="Calibri" w:hAnsi="Times New Roman" w:cs="Times New Roman"/>
          <w:sz w:val="24"/>
          <w:szCs w:val="24"/>
        </w:rPr>
        <w:t>.</w:t>
      </w:r>
      <w:r w:rsidR="00F83B0D">
        <w:rPr>
          <w:rFonts w:ascii="Times New Roman" w:eastAsia="Calibri" w:hAnsi="Times New Roman" w:cs="Times New Roman"/>
          <w:sz w:val="24"/>
          <w:szCs w:val="24"/>
        </w:rPr>
        <w:t xml:space="preserve"> </w:t>
      </w:r>
      <w:r w:rsidR="00F83B0D" w:rsidRPr="00F83B0D">
        <w:rPr>
          <w:rFonts w:ascii="Times New Roman" w:eastAsia="Calibri" w:hAnsi="Times New Roman" w:cs="Times New Roman"/>
          <w:sz w:val="24"/>
          <w:szCs w:val="24"/>
        </w:rPr>
        <w:t>Sprzedaż nieruchomości powoduje wygaśnięcie praw oraz praw i roszczeń osobistych ujawnionych przez wpis do księgi wieczystej</w:t>
      </w:r>
      <w:r w:rsidR="00F83B0D">
        <w:rPr>
          <w:rFonts w:ascii="Times New Roman" w:eastAsia="Calibri" w:hAnsi="Times New Roman" w:cs="Times New Roman"/>
          <w:sz w:val="24"/>
          <w:szCs w:val="24"/>
        </w:rPr>
        <w:t xml:space="preserve">. </w:t>
      </w:r>
      <w:r w:rsidR="00F83B0D" w:rsidRPr="00F83B0D">
        <w:rPr>
          <w:rFonts w:ascii="Times New Roman" w:eastAsia="Calibri" w:hAnsi="Times New Roman" w:cs="Times New Roman"/>
          <w:sz w:val="24"/>
          <w:szCs w:val="24"/>
        </w:rPr>
        <w:t>W miejsce prawa, które wygasło, uprawniony nabywa prawo do zaspokojenia wartości wygasłego prawa z ceny uzyskanej ze sprzedaży obciążonej nieruchomości</w:t>
      </w:r>
      <w:r w:rsidR="00D57580">
        <w:rPr>
          <w:rFonts w:ascii="Times New Roman" w:eastAsia="Calibri" w:hAnsi="Times New Roman" w:cs="Times New Roman"/>
          <w:sz w:val="24"/>
          <w:szCs w:val="24"/>
        </w:rPr>
        <w:t>.</w:t>
      </w:r>
    </w:p>
    <w:p w14:paraId="3DB9CEF0" w14:textId="25C77439" w:rsidR="00E8701B" w:rsidRPr="00E8701B" w:rsidRDefault="00D57580" w:rsidP="00D57580">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Warto zwrócić zwłaszcza uwagę na skutki zbycia przez zarządcę składników masy sanacyjnej obciążonych prawami zastawniczymi.   </w:t>
      </w:r>
      <w:r w:rsidR="006E0BC8">
        <w:rPr>
          <w:rFonts w:ascii="Times New Roman" w:eastAsia="Calibri" w:hAnsi="Times New Roman" w:cs="Times New Roman"/>
          <w:sz w:val="24"/>
          <w:szCs w:val="24"/>
        </w:rPr>
        <w:t>W</w:t>
      </w:r>
      <w:r w:rsidR="00E8701B" w:rsidRPr="00E8701B">
        <w:rPr>
          <w:rFonts w:ascii="Times New Roman" w:eastAsia="Calibri" w:hAnsi="Times New Roman" w:cs="Times New Roman"/>
          <w:sz w:val="24"/>
          <w:szCs w:val="24"/>
        </w:rPr>
        <w:t xml:space="preserve"> przypadku gdy składniki masy sanacyjnej obciążone zastawem lub hipoteką zostaną zbyte przez zarządcę (za zgodą sędziego komisarza), </w:t>
      </w:r>
      <w:r>
        <w:rPr>
          <w:rFonts w:ascii="Times New Roman" w:eastAsia="Calibri" w:hAnsi="Times New Roman" w:cs="Times New Roman"/>
          <w:sz w:val="24"/>
          <w:szCs w:val="24"/>
        </w:rPr>
        <w:t xml:space="preserve">wówczas, zgodnie z art. 323 ust. 4 PR, </w:t>
      </w:r>
      <w:r w:rsidR="00E8701B" w:rsidRPr="00E8701B">
        <w:rPr>
          <w:rFonts w:ascii="Times New Roman" w:eastAsia="Calibri" w:hAnsi="Times New Roman" w:cs="Times New Roman"/>
          <w:sz w:val="24"/>
          <w:szCs w:val="24"/>
        </w:rPr>
        <w:t xml:space="preserve">sporządza on odrębny plan podziału sum uzyskanych ze sprzedaży zgodnie z przepisami PU. </w:t>
      </w:r>
    </w:p>
    <w:p w14:paraId="1C449186" w14:textId="5120094E" w:rsidR="00E8701B" w:rsidRPr="00E8701B" w:rsidRDefault="00D57580" w:rsidP="00E8701B">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Odrębny plan podziału uzyskanych w ten sposób przez zarządcę sum sporządzany jest zgodnie z przepisami ustawy Prawo Upadłościowe. W</w:t>
      </w:r>
      <w:r w:rsidR="00E8701B" w:rsidRPr="00E8701B">
        <w:rPr>
          <w:rFonts w:ascii="Times New Roman" w:eastAsia="Calibri" w:hAnsi="Times New Roman" w:cs="Times New Roman"/>
          <w:sz w:val="24"/>
          <w:szCs w:val="24"/>
        </w:rPr>
        <w:t xml:space="preserve"> pierwszym rzędzie przywołać </w:t>
      </w:r>
      <w:r>
        <w:rPr>
          <w:rFonts w:ascii="Times New Roman" w:eastAsia="Calibri" w:hAnsi="Times New Roman" w:cs="Times New Roman"/>
          <w:sz w:val="24"/>
          <w:szCs w:val="24"/>
        </w:rPr>
        <w:t xml:space="preserve">tutaj </w:t>
      </w:r>
      <w:r w:rsidR="00E8701B" w:rsidRPr="00E8701B">
        <w:rPr>
          <w:rFonts w:ascii="Times New Roman" w:eastAsia="Calibri" w:hAnsi="Times New Roman" w:cs="Times New Roman"/>
          <w:sz w:val="24"/>
          <w:szCs w:val="24"/>
        </w:rPr>
        <w:t xml:space="preserve">należy art. 336 ust. 1 PU, w myśl którego sumy uzyskane z likwidacji rzeczy, wierzytelności i praw obciążonych hipoteką, zastawem, zastawem rejestrowym, zastawem skarbowym lub hipoteką morską, przeznacza się na zaspokojenie wierzycieli, których wierzytelności były zabezpieczone na tych rzeczach lub prawach z zachowaniem przepisów ustawy. Zaspokojenie to odbywa się w drodze odrębnego podziału, przeprowadzanego w oparciu o odrębny plan podziału, z pierwszeństwem przed wierzycielami osobistymi upadłego. Owo uprawnienie do odrębnego zaspokojenia z przedmiotu zabezpieczenia, określane jest powszechnie jako „prawo odrębności”. </w:t>
      </w:r>
    </w:p>
    <w:p w14:paraId="0D8F8E56" w14:textId="52C999C8" w:rsidR="00E8701B" w:rsidRPr="00E8701B" w:rsidRDefault="00E8701B" w:rsidP="00E8701B">
      <w:pPr>
        <w:spacing w:after="0" w:line="360" w:lineRule="auto"/>
        <w:ind w:firstLine="567"/>
        <w:jc w:val="both"/>
        <w:rPr>
          <w:rFonts w:ascii="Times New Roman" w:eastAsia="Calibri" w:hAnsi="Times New Roman" w:cs="Times New Roman"/>
          <w:sz w:val="24"/>
          <w:szCs w:val="24"/>
        </w:rPr>
      </w:pPr>
      <w:r w:rsidRPr="00E8701B">
        <w:rPr>
          <w:rFonts w:ascii="Times New Roman" w:eastAsia="Calibri" w:hAnsi="Times New Roman" w:cs="Times New Roman"/>
          <w:sz w:val="24"/>
          <w:szCs w:val="24"/>
        </w:rPr>
        <w:t xml:space="preserve">Brzmienie art. 323 ust. 4 PR  wskazuje, że prawo odrębności, w kształcie istniejącym w prawie upadłościowym, obowiązuje również na gruncie postępowania sanacyjnego. Przyjąć zatem należy, że uzyskana ze zbycia przedmiotu zabezpieczenia przez zarządcę suma, po odliczeniu kosztów sprzedaży, musi zostać przeznaczona na zaspokojeniu wierzyciela rzeczowego. Jeżeli uzyskana ze zbycia przedmiotu zabezpieczenia suma jest wyższa od kwoty zabezpieczonej wierzytelności, nadwyżka wchodzi do masy sanacyjnej. W sytuacji, gdy suma ta nie wystarcza na spłatę takiej wierzytelności, a wierzyciel rzeczowy dłużnika jest jednocześnie jego dłużnikiem osobistym, niespłacona kwota jego wierzytelności może podlegać zaspokojeniu w postępowaniu sanacyjnym, na takich samych zasadach jak wierzytelności uczestników tego postępowania będących wierzycielami wyłącznie osobistymi dłużnika. Wierzyciele wyłącznie rzeczowi dłużnika natomiast, analogicznie jak wierzyciele wyłącznie rzeczowi upadłego, mogą w postępowaniu sanacyjnym uzyskać zaspokojenie wyłącznie z przedmiotu zabezpieczenia. Ewentualnie niespłaconej części wierzytelności mogą dochodzić wyłącznie od swojego dłużnika osobistego. </w:t>
      </w:r>
    </w:p>
    <w:p w14:paraId="575425C0" w14:textId="496A522E" w:rsidR="00E8701B" w:rsidRDefault="00E8701B" w:rsidP="00E8701B">
      <w:pPr>
        <w:spacing w:after="0" w:line="360" w:lineRule="auto"/>
        <w:ind w:firstLine="567"/>
        <w:jc w:val="both"/>
        <w:rPr>
          <w:rFonts w:ascii="Times New Roman" w:eastAsia="Calibri" w:hAnsi="Times New Roman" w:cs="Times New Roman"/>
          <w:sz w:val="24"/>
          <w:szCs w:val="24"/>
        </w:rPr>
      </w:pPr>
      <w:r w:rsidRPr="00E8701B">
        <w:rPr>
          <w:rFonts w:ascii="Times New Roman" w:eastAsia="Calibri" w:hAnsi="Times New Roman" w:cs="Times New Roman"/>
          <w:sz w:val="24"/>
          <w:szCs w:val="24"/>
        </w:rPr>
        <w:t>W przypadku, gdy w toku postępowania sanacyjnego nie nastąpiło zbycie przedmiotu zabezpieczenia przez zarządcę, zakończeniem tego postępowania umożliwia wierzycielowi rzeczowemu dłużnika, którego wierzytelność nie została objęta układem, wszczęcie (bądź kontynuowanie) postępowania egzekucyjnego zmierzającego do uzyskania zaspokojenia z przedmiotu zabezpieczenia.</w:t>
      </w:r>
    </w:p>
    <w:p w14:paraId="0EDF8362" w14:textId="2CE659FC" w:rsidR="00C05228" w:rsidRDefault="00C05228" w:rsidP="00E8701B">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Uzyskanie zgody sędziego-komisarza na zbycie składników mienia sanacyjnego przez zarządcę nie jest wymagane w przypadku </w:t>
      </w:r>
      <w:r w:rsidRPr="00C05228">
        <w:rPr>
          <w:rFonts w:ascii="Times New Roman" w:eastAsia="Calibri" w:hAnsi="Times New Roman" w:cs="Times New Roman"/>
          <w:sz w:val="24"/>
          <w:szCs w:val="24"/>
        </w:rPr>
        <w:t>gdy zbycie składników mienia odbywa się w ramach prowadzonej działalności gospodarczej i nie przekracza zakresu zwykłego zarządu</w:t>
      </w:r>
      <w:r>
        <w:rPr>
          <w:rFonts w:ascii="Times New Roman" w:eastAsia="Calibri" w:hAnsi="Times New Roman" w:cs="Times New Roman"/>
          <w:sz w:val="24"/>
          <w:szCs w:val="24"/>
        </w:rPr>
        <w:t xml:space="preserve"> (art. 323 ust. 5 PR). Sprzedaż taka nie ma przy tym skutków sprzedaży dokonanej w postępowaniu upadłościowym, a zatem ewentualne obciążenia pozostają w mocy (ale stosuje się przepisy dotyczące wygaśnięcia zastawu rejestrowego), natomiast wierzyciel rzeczowy nie korzysta z prawa odrębności</w:t>
      </w:r>
      <w:r w:rsidRPr="00C05228">
        <w:rPr>
          <w:rFonts w:ascii="Times New Roman" w:eastAsia="Calibri" w:hAnsi="Times New Roman" w:cs="Times New Roman"/>
          <w:sz w:val="24"/>
          <w:szCs w:val="24"/>
        </w:rPr>
        <w:t>.</w:t>
      </w:r>
    </w:p>
    <w:p w14:paraId="52390C8B" w14:textId="77777777" w:rsidR="00E8701B" w:rsidRPr="00E8701B" w:rsidRDefault="00E8701B" w:rsidP="00C05228">
      <w:pPr>
        <w:spacing w:after="0" w:line="360" w:lineRule="auto"/>
        <w:jc w:val="both"/>
        <w:rPr>
          <w:rFonts w:ascii="Times New Roman" w:eastAsia="Calibri" w:hAnsi="Times New Roman" w:cs="Times New Roman"/>
          <w:sz w:val="24"/>
          <w:szCs w:val="24"/>
        </w:rPr>
      </w:pPr>
      <w:r w:rsidRPr="00E8701B">
        <w:rPr>
          <w:rFonts w:ascii="Times New Roman" w:eastAsia="Calibri" w:hAnsi="Times New Roman" w:cs="Times New Roman"/>
          <w:sz w:val="24"/>
          <w:szCs w:val="24"/>
        </w:rPr>
        <w:t xml:space="preserve"> </w:t>
      </w:r>
    </w:p>
    <w:p w14:paraId="4D1BE5E2" w14:textId="0557B903" w:rsidR="00E8701B" w:rsidRDefault="00330DF0" w:rsidP="00330DF0">
      <w:pPr>
        <w:pStyle w:val="Akapitzlist"/>
        <w:numPr>
          <w:ilvl w:val="0"/>
          <w:numId w:val="10"/>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Spis wierzy</w:t>
      </w:r>
      <w:r w:rsidR="00647521">
        <w:rPr>
          <w:rFonts w:ascii="Times New Roman" w:hAnsi="Times New Roman" w:cs="Times New Roman"/>
          <w:b/>
          <w:bCs/>
          <w:sz w:val="24"/>
          <w:szCs w:val="24"/>
        </w:rPr>
        <w:t>telności</w:t>
      </w:r>
      <w:r>
        <w:rPr>
          <w:rFonts w:ascii="Times New Roman" w:hAnsi="Times New Roman" w:cs="Times New Roman"/>
          <w:b/>
          <w:bCs/>
          <w:sz w:val="24"/>
          <w:szCs w:val="24"/>
        </w:rPr>
        <w:t xml:space="preserve"> i zgromadzenie wierzycieli </w:t>
      </w:r>
    </w:p>
    <w:p w14:paraId="593BE1E6" w14:textId="6DE1BEA7" w:rsidR="00C05228" w:rsidRDefault="00C05228" w:rsidP="00C05228">
      <w:pPr>
        <w:spacing w:after="0" w:line="360" w:lineRule="auto"/>
        <w:jc w:val="both"/>
        <w:rPr>
          <w:rFonts w:ascii="Times New Roman" w:hAnsi="Times New Roman" w:cs="Times New Roman"/>
          <w:b/>
          <w:bCs/>
          <w:sz w:val="24"/>
          <w:szCs w:val="24"/>
        </w:rPr>
      </w:pPr>
    </w:p>
    <w:p w14:paraId="77883A9F" w14:textId="03F79E65" w:rsidR="00115393" w:rsidRDefault="00115393" w:rsidP="0011539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w:t>
      </w:r>
      <w:r w:rsidRPr="00CF3E50">
        <w:rPr>
          <w:rFonts w:ascii="Times New Roman" w:hAnsi="Times New Roman" w:cs="Times New Roman"/>
          <w:sz w:val="24"/>
          <w:szCs w:val="24"/>
        </w:rPr>
        <w:t>pis wierzytelności</w:t>
      </w:r>
      <w:r>
        <w:rPr>
          <w:rFonts w:ascii="Times New Roman" w:hAnsi="Times New Roman" w:cs="Times New Roman"/>
          <w:sz w:val="24"/>
          <w:szCs w:val="24"/>
        </w:rPr>
        <w:t>, zgodnie z art. 320 PR</w:t>
      </w:r>
      <w:r w:rsidRPr="00CF3E50">
        <w:rPr>
          <w:rFonts w:ascii="Times New Roman" w:hAnsi="Times New Roman" w:cs="Times New Roman"/>
          <w:sz w:val="24"/>
          <w:szCs w:val="24"/>
        </w:rPr>
        <w:t xml:space="preserve"> sporządza i składa sędziemu-komisarzowi </w:t>
      </w:r>
      <w:r>
        <w:rPr>
          <w:rFonts w:ascii="Times New Roman" w:hAnsi="Times New Roman" w:cs="Times New Roman"/>
          <w:sz w:val="24"/>
          <w:szCs w:val="24"/>
        </w:rPr>
        <w:t>z</w:t>
      </w:r>
      <w:r w:rsidR="00CF3E50" w:rsidRPr="00CF3E50">
        <w:rPr>
          <w:rFonts w:ascii="Times New Roman" w:hAnsi="Times New Roman" w:cs="Times New Roman"/>
          <w:sz w:val="24"/>
          <w:szCs w:val="24"/>
        </w:rPr>
        <w:t xml:space="preserve">arządca w terminie trzydziestu dni od dnia otwarcia postępowania sanacyjnego. </w:t>
      </w:r>
      <w:r>
        <w:rPr>
          <w:rFonts w:ascii="Times New Roman" w:hAnsi="Times New Roman" w:cs="Times New Roman"/>
          <w:sz w:val="24"/>
          <w:szCs w:val="24"/>
        </w:rPr>
        <w:t>Spis ten podlega zatwierdzeniu przez sędziego-komisarza. W oparciu o spis s</w:t>
      </w:r>
      <w:r w:rsidR="00CF3E50" w:rsidRPr="00CF3E50">
        <w:rPr>
          <w:rFonts w:ascii="Times New Roman" w:hAnsi="Times New Roman" w:cs="Times New Roman"/>
          <w:sz w:val="24"/>
          <w:szCs w:val="24"/>
        </w:rPr>
        <w:t>ędzia-komisarz zwołuje zgromadzenie wierzycieli w celu głosowania nad układem</w:t>
      </w:r>
      <w:r>
        <w:rPr>
          <w:rFonts w:ascii="Times New Roman" w:hAnsi="Times New Roman" w:cs="Times New Roman"/>
          <w:sz w:val="24"/>
          <w:szCs w:val="24"/>
        </w:rPr>
        <w:t>. Zgromadzenie takie</w:t>
      </w:r>
      <w:r w:rsidR="00CF3E50" w:rsidRPr="00CF3E50">
        <w:rPr>
          <w:rFonts w:ascii="Times New Roman" w:hAnsi="Times New Roman" w:cs="Times New Roman"/>
          <w:sz w:val="24"/>
          <w:szCs w:val="24"/>
        </w:rPr>
        <w:t xml:space="preserve"> </w:t>
      </w:r>
      <w:r>
        <w:rPr>
          <w:rFonts w:ascii="Times New Roman" w:hAnsi="Times New Roman" w:cs="Times New Roman"/>
          <w:sz w:val="24"/>
          <w:szCs w:val="24"/>
        </w:rPr>
        <w:t xml:space="preserve">zwoływane jest </w:t>
      </w:r>
      <w:r w:rsidR="00CF3E50" w:rsidRPr="00CF3E50">
        <w:rPr>
          <w:rFonts w:ascii="Times New Roman" w:hAnsi="Times New Roman" w:cs="Times New Roman"/>
          <w:sz w:val="24"/>
          <w:szCs w:val="24"/>
        </w:rPr>
        <w:t>niezwłocznie po zrealizowaniu całości lub części planu restrukturyzacyjnego przewidzianej do wykonania w toku postępowania sanacyjnego, nie później jednak niż przed upływem dwunastu miesięcy od dnia otwarcia postępowania sanacyjnego</w:t>
      </w:r>
      <w:r>
        <w:rPr>
          <w:rFonts w:ascii="Times New Roman" w:hAnsi="Times New Roman" w:cs="Times New Roman"/>
          <w:sz w:val="24"/>
          <w:szCs w:val="24"/>
        </w:rPr>
        <w:t xml:space="preserve"> – co ma dać czas na wdrożenie przynajmniej części działań sanacyjnych i ocenę ich efektów. </w:t>
      </w:r>
      <w:r w:rsidRPr="00115393">
        <w:rPr>
          <w:rFonts w:ascii="Times New Roman" w:hAnsi="Times New Roman" w:cs="Times New Roman"/>
          <w:sz w:val="24"/>
          <w:szCs w:val="24"/>
        </w:rPr>
        <w:t xml:space="preserve">Jeżeli w </w:t>
      </w:r>
      <w:r>
        <w:rPr>
          <w:rFonts w:ascii="Times New Roman" w:hAnsi="Times New Roman" w:cs="Times New Roman"/>
          <w:sz w:val="24"/>
          <w:szCs w:val="24"/>
        </w:rPr>
        <w:t xml:space="preserve">tym </w:t>
      </w:r>
      <w:r w:rsidRPr="00115393">
        <w:rPr>
          <w:rFonts w:ascii="Times New Roman" w:hAnsi="Times New Roman" w:cs="Times New Roman"/>
          <w:sz w:val="24"/>
          <w:szCs w:val="24"/>
        </w:rPr>
        <w:t>terminie, o którym nie został zatwierdzony spis wierzytelności lub nie została zakończona procedura uzyskiwania zgody na udzielenie pomocy publicznej, sędzia-komisarz zwołuje zgromadzenie wierzycieli w celu głosowania nad układem niezwłocznie po zatwierdzeniu spisu wierzytelności lub zakończeniu procedury uzyskiwania zgody na udzielenie pomocy publicznej.</w:t>
      </w:r>
      <w:r>
        <w:rPr>
          <w:rFonts w:ascii="Times New Roman" w:hAnsi="Times New Roman" w:cs="Times New Roman"/>
          <w:sz w:val="24"/>
          <w:szCs w:val="24"/>
        </w:rPr>
        <w:t xml:space="preserve"> Głosowanie nad układem odbywa się na zasadach ogólnych – dla jego przyjęcia </w:t>
      </w:r>
      <w:r w:rsidRPr="00115393">
        <w:rPr>
          <w:rFonts w:ascii="Times New Roman" w:hAnsi="Times New Roman" w:cs="Times New Roman"/>
          <w:sz w:val="24"/>
          <w:szCs w:val="24"/>
        </w:rPr>
        <w:t>wymagan</w:t>
      </w:r>
      <w:r>
        <w:rPr>
          <w:rFonts w:ascii="Times New Roman" w:hAnsi="Times New Roman" w:cs="Times New Roman"/>
          <w:sz w:val="24"/>
          <w:szCs w:val="24"/>
        </w:rPr>
        <w:t>a</w:t>
      </w:r>
      <w:r w:rsidRPr="00115393">
        <w:rPr>
          <w:rFonts w:ascii="Times New Roman" w:hAnsi="Times New Roman" w:cs="Times New Roman"/>
          <w:sz w:val="24"/>
          <w:szCs w:val="24"/>
        </w:rPr>
        <w:t xml:space="preserve"> jest uchwała zgromadzenia wierzycieli</w:t>
      </w:r>
      <w:r>
        <w:rPr>
          <w:rFonts w:ascii="Times New Roman" w:hAnsi="Times New Roman" w:cs="Times New Roman"/>
          <w:sz w:val="24"/>
          <w:szCs w:val="24"/>
        </w:rPr>
        <w:t>, która zapada</w:t>
      </w:r>
      <w:r w:rsidR="00647521">
        <w:rPr>
          <w:rFonts w:ascii="Times New Roman" w:hAnsi="Times New Roman" w:cs="Times New Roman"/>
          <w:sz w:val="24"/>
          <w:szCs w:val="24"/>
        </w:rPr>
        <w:t xml:space="preserve">, </w:t>
      </w:r>
      <w:r w:rsidRPr="00115393">
        <w:rPr>
          <w:rFonts w:ascii="Times New Roman" w:hAnsi="Times New Roman" w:cs="Times New Roman"/>
          <w:sz w:val="24"/>
          <w:szCs w:val="24"/>
        </w:rPr>
        <w:t xml:space="preserve">jeżeli wypowie się za nią większość głosujących wierzycieli, którzy oddali ważny głos, mających łącznie co najmniej dwie trzecie sumy wierzytelności przysługujących głosującym wierzycielom, możliwe głosowanie w grupach. </w:t>
      </w:r>
    </w:p>
    <w:p w14:paraId="085BEB9B" w14:textId="169824A1" w:rsidR="00C05228" w:rsidRPr="00C05228" w:rsidRDefault="00115393" w:rsidP="00115393">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Bezpośrednio w postępowaniu sanacyjnym nie ma możliwości zawarcia układu częściowego. </w:t>
      </w:r>
      <w:r w:rsidRPr="00115393">
        <w:rPr>
          <w:rFonts w:ascii="Times New Roman" w:hAnsi="Times New Roman" w:cs="Times New Roman"/>
          <w:sz w:val="24"/>
          <w:szCs w:val="24"/>
        </w:rPr>
        <w:t xml:space="preserve">Na mocy art. 192 ust. 1 PR w toku postępowania sanacyjnego dopuszczalne jest </w:t>
      </w:r>
      <w:r>
        <w:rPr>
          <w:rFonts w:ascii="Times New Roman" w:hAnsi="Times New Roman" w:cs="Times New Roman"/>
          <w:sz w:val="24"/>
          <w:szCs w:val="24"/>
        </w:rPr>
        <w:t xml:space="preserve">jednak </w:t>
      </w:r>
      <w:r w:rsidRPr="00115393">
        <w:rPr>
          <w:rFonts w:ascii="Times New Roman" w:hAnsi="Times New Roman" w:cs="Times New Roman"/>
          <w:sz w:val="24"/>
          <w:szCs w:val="24"/>
        </w:rPr>
        <w:t>złożenie wniosku o zatwierdzenie układu częściowego lub wniosku o otwarcie przyspieszonego postępowania układowego, w którym ma zostać przyjęty układ częściowy, pod warunkiem, że wierzyciele objęci układem częściowym są wierzycielami nieobjętymi układem z mocy prawa i nie wyrazili zgody na objęcie ich układem w postępowaniu sanacyjnym</w:t>
      </w:r>
      <w:r>
        <w:rPr>
          <w:rFonts w:ascii="Times New Roman" w:hAnsi="Times New Roman" w:cs="Times New Roman"/>
          <w:sz w:val="24"/>
          <w:szCs w:val="24"/>
        </w:rPr>
        <w:t>.</w:t>
      </w:r>
    </w:p>
    <w:sectPr w:rsidR="00C05228" w:rsidRPr="00C052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AA46" w14:textId="77777777" w:rsidR="00126890" w:rsidRDefault="00126890" w:rsidP="000C1EDC">
      <w:pPr>
        <w:spacing w:after="0" w:line="240" w:lineRule="auto"/>
      </w:pPr>
      <w:r>
        <w:separator/>
      </w:r>
    </w:p>
  </w:endnote>
  <w:endnote w:type="continuationSeparator" w:id="0">
    <w:p w14:paraId="2114339A" w14:textId="77777777" w:rsidR="00126890" w:rsidRDefault="00126890" w:rsidP="000C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28292"/>
      <w:docPartObj>
        <w:docPartGallery w:val="Page Numbers (Bottom of Page)"/>
        <w:docPartUnique/>
      </w:docPartObj>
    </w:sdtPr>
    <w:sdtEndPr/>
    <w:sdtContent>
      <w:p w14:paraId="77659CC0" w14:textId="52F71651" w:rsidR="00D71B7F" w:rsidRDefault="00D71B7F">
        <w:pPr>
          <w:pStyle w:val="Stopka"/>
          <w:jc w:val="right"/>
        </w:pPr>
        <w:r>
          <w:fldChar w:fldCharType="begin"/>
        </w:r>
        <w:r>
          <w:instrText>PAGE   \* MERGEFORMAT</w:instrText>
        </w:r>
        <w:r>
          <w:fldChar w:fldCharType="separate"/>
        </w:r>
        <w:r>
          <w:t>2</w:t>
        </w:r>
        <w:r>
          <w:fldChar w:fldCharType="end"/>
        </w:r>
      </w:p>
    </w:sdtContent>
  </w:sdt>
  <w:p w14:paraId="12428A97" w14:textId="77777777" w:rsidR="000C1EDC" w:rsidRDefault="000C1E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5B55" w14:textId="77777777" w:rsidR="00126890" w:rsidRDefault="00126890" w:rsidP="000C1EDC">
      <w:pPr>
        <w:spacing w:after="0" w:line="240" w:lineRule="auto"/>
      </w:pPr>
      <w:r>
        <w:separator/>
      </w:r>
    </w:p>
  </w:footnote>
  <w:footnote w:type="continuationSeparator" w:id="0">
    <w:p w14:paraId="1B9545D4" w14:textId="77777777" w:rsidR="00126890" w:rsidRDefault="00126890" w:rsidP="000C1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464"/>
    <w:multiLevelType w:val="hybridMultilevel"/>
    <w:tmpl w:val="900A4C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765E59"/>
    <w:multiLevelType w:val="hybridMultilevel"/>
    <w:tmpl w:val="D74AE0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E81ADA"/>
    <w:multiLevelType w:val="multilevel"/>
    <w:tmpl w:val="B818FE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A0246D5"/>
    <w:multiLevelType w:val="hybridMultilevel"/>
    <w:tmpl w:val="0F4E82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2340C7"/>
    <w:multiLevelType w:val="hybridMultilevel"/>
    <w:tmpl w:val="19E0F07E"/>
    <w:lvl w:ilvl="0" w:tplc="D4545CE4">
      <w:start w:val="1"/>
      <w:numFmt w:val="decimal"/>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 w15:restartNumberingAfterBreak="0">
    <w:nsid w:val="33B14384"/>
    <w:multiLevelType w:val="multilevel"/>
    <w:tmpl w:val="609A4B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6E55DF"/>
    <w:multiLevelType w:val="hybridMultilevel"/>
    <w:tmpl w:val="82C42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460EDB"/>
    <w:multiLevelType w:val="hybridMultilevel"/>
    <w:tmpl w:val="138E9E5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ED60B2"/>
    <w:multiLevelType w:val="hybridMultilevel"/>
    <w:tmpl w:val="303488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E6E624B"/>
    <w:multiLevelType w:val="hybridMultilevel"/>
    <w:tmpl w:val="BEFC45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1"/>
  </w:num>
  <w:num w:numId="5">
    <w:abstractNumId w:val="7"/>
  </w:num>
  <w:num w:numId="6">
    <w:abstractNumId w:val="3"/>
  </w:num>
  <w:num w:numId="7">
    <w:abstractNumId w:val="0"/>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E9"/>
    <w:rsid w:val="00016CBE"/>
    <w:rsid w:val="00017287"/>
    <w:rsid w:val="000515E0"/>
    <w:rsid w:val="00056D2F"/>
    <w:rsid w:val="000615FF"/>
    <w:rsid w:val="00087D14"/>
    <w:rsid w:val="000A1E31"/>
    <w:rsid w:val="000A53E4"/>
    <w:rsid w:val="000B114F"/>
    <w:rsid w:val="000C1EDC"/>
    <w:rsid w:val="001025F6"/>
    <w:rsid w:val="00115393"/>
    <w:rsid w:val="00116609"/>
    <w:rsid w:val="00126890"/>
    <w:rsid w:val="00131D5F"/>
    <w:rsid w:val="00153BB4"/>
    <w:rsid w:val="0016196F"/>
    <w:rsid w:val="00192AA7"/>
    <w:rsid w:val="001A530F"/>
    <w:rsid w:val="001B43AB"/>
    <w:rsid w:val="001C73F4"/>
    <w:rsid w:val="001E1CD4"/>
    <w:rsid w:val="00206C79"/>
    <w:rsid w:val="002133D9"/>
    <w:rsid w:val="002268AE"/>
    <w:rsid w:val="00230178"/>
    <w:rsid w:val="00247BCA"/>
    <w:rsid w:val="002C4AF6"/>
    <w:rsid w:val="002E5941"/>
    <w:rsid w:val="00306158"/>
    <w:rsid w:val="003100CE"/>
    <w:rsid w:val="0031145B"/>
    <w:rsid w:val="00320115"/>
    <w:rsid w:val="00330DF0"/>
    <w:rsid w:val="00342354"/>
    <w:rsid w:val="003956BE"/>
    <w:rsid w:val="0039717A"/>
    <w:rsid w:val="003974BB"/>
    <w:rsid w:val="003A0C35"/>
    <w:rsid w:val="003D1BE2"/>
    <w:rsid w:val="003D6CF4"/>
    <w:rsid w:val="003E1769"/>
    <w:rsid w:val="004107B6"/>
    <w:rsid w:val="0041088D"/>
    <w:rsid w:val="00453E6B"/>
    <w:rsid w:val="004602AA"/>
    <w:rsid w:val="0049258F"/>
    <w:rsid w:val="00497509"/>
    <w:rsid w:val="004A0108"/>
    <w:rsid w:val="004A3982"/>
    <w:rsid w:val="004E2C34"/>
    <w:rsid w:val="00511566"/>
    <w:rsid w:val="00514419"/>
    <w:rsid w:val="0052473C"/>
    <w:rsid w:val="005275DA"/>
    <w:rsid w:val="005551B9"/>
    <w:rsid w:val="00556A7C"/>
    <w:rsid w:val="00556AB1"/>
    <w:rsid w:val="00591B91"/>
    <w:rsid w:val="005941EF"/>
    <w:rsid w:val="005D347B"/>
    <w:rsid w:val="005E2594"/>
    <w:rsid w:val="005F2B30"/>
    <w:rsid w:val="00607415"/>
    <w:rsid w:val="006145E0"/>
    <w:rsid w:val="00631F43"/>
    <w:rsid w:val="00647521"/>
    <w:rsid w:val="00680887"/>
    <w:rsid w:val="00680A96"/>
    <w:rsid w:val="00681834"/>
    <w:rsid w:val="00690165"/>
    <w:rsid w:val="006C351E"/>
    <w:rsid w:val="006E0BC8"/>
    <w:rsid w:val="00717DC3"/>
    <w:rsid w:val="007324A9"/>
    <w:rsid w:val="00757901"/>
    <w:rsid w:val="007644F4"/>
    <w:rsid w:val="0079576A"/>
    <w:rsid w:val="007B73E9"/>
    <w:rsid w:val="008342F6"/>
    <w:rsid w:val="00843288"/>
    <w:rsid w:val="00857038"/>
    <w:rsid w:val="008C32A6"/>
    <w:rsid w:val="00902173"/>
    <w:rsid w:val="00903616"/>
    <w:rsid w:val="009664EF"/>
    <w:rsid w:val="0097736C"/>
    <w:rsid w:val="00981647"/>
    <w:rsid w:val="00994ECF"/>
    <w:rsid w:val="009D0307"/>
    <w:rsid w:val="009E5A85"/>
    <w:rsid w:val="009F0C74"/>
    <w:rsid w:val="009F151A"/>
    <w:rsid w:val="00A06BA5"/>
    <w:rsid w:val="00A276B0"/>
    <w:rsid w:val="00A27DBB"/>
    <w:rsid w:val="00A5704A"/>
    <w:rsid w:val="00A71351"/>
    <w:rsid w:val="00AA2ACE"/>
    <w:rsid w:val="00AC6806"/>
    <w:rsid w:val="00AF447E"/>
    <w:rsid w:val="00B06692"/>
    <w:rsid w:val="00B30306"/>
    <w:rsid w:val="00B35D78"/>
    <w:rsid w:val="00B37D61"/>
    <w:rsid w:val="00B7291B"/>
    <w:rsid w:val="00B9066A"/>
    <w:rsid w:val="00BD5234"/>
    <w:rsid w:val="00BE5802"/>
    <w:rsid w:val="00C05228"/>
    <w:rsid w:val="00C322FC"/>
    <w:rsid w:val="00C54C3E"/>
    <w:rsid w:val="00C56ABA"/>
    <w:rsid w:val="00C83870"/>
    <w:rsid w:val="00CA4776"/>
    <w:rsid w:val="00CA7653"/>
    <w:rsid w:val="00CC2917"/>
    <w:rsid w:val="00CF3E50"/>
    <w:rsid w:val="00D104D4"/>
    <w:rsid w:val="00D21DDF"/>
    <w:rsid w:val="00D23D82"/>
    <w:rsid w:val="00D251E5"/>
    <w:rsid w:val="00D57580"/>
    <w:rsid w:val="00D63977"/>
    <w:rsid w:val="00D6487F"/>
    <w:rsid w:val="00D71B7F"/>
    <w:rsid w:val="00DA7E16"/>
    <w:rsid w:val="00DC23B4"/>
    <w:rsid w:val="00DE0C71"/>
    <w:rsid w:val="00DF5BD6"/>
    <w:rsid w:val="00E21EFA"/>
    <w:rsid w:val="00E239C8"/>
    <w:rsid w:val="00E60C80"/>
    <w:rsid w:val="00E8701B"/>
    <w:rsid w:val="00EA478B"/>
    <w:rsid w:val="00EA698C"/>
    <w:rsid w:val="00EA6FCD"/>
    <w:rsid w:val="00EB334F"/>
    <w:rsid w:val="00ED0DC9"/>
    <w:rsid w:val="00EF129C"/>
    <w:rsid w:val="00F265F2"/>
    <w:rsid w:val="00F4356B"/>
    <w:rsid w:val="00F53741"/>
    <w:rsid w:val="00F83B0D"/>
    <w:rsid w:val="00FB6FE6"/>
    <w:rsid w:val="00FC04C5"/>
    <w:rsid w:val="00FC3D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8E9C"/>
  <w15:chartTrackingRefBased/>
  <w15:docId w15:val="{21F4828A-B08B-4455-A557-81655462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73E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114F"/>
    <w:pPr>
      <w:ind w:left="720"/>
      <w:contextualSpacing/>
    </w:pPr>
  </w:style>
  <w:style w:type="paragraph" w:styleId="Nagwek">
    <w:name w:val="header"/>
    <w:basedOn w:val="Normalny"/>
    <w:link w:val="NagwekZnak"/>
    <w:uiPriority w:val="99"/>
    <w:unhideWhenUsed/>
    <w:rsid w:val="000C1E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1EDC"/>
  </w:style>
  <w:style w:type="paragraph" w:styleId="Stopka">
    <w:name w:val="footer"/>
    <w:basedOn w:val="Normalny"/>
    <w:link w:val="StopkaZnak"/>
    <w:uiPriority w:val="99"/>
    <w:unhideWhenUsed/>
    <w:rsid w:val="000C1E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1EDC"/>
  </w:style>
  <w:style w:type="paragraph" w:styleId="Tekstprzypisukocowego">
    <w:name w:val="endnote text"/>
    <w:basedOn w:val="Normalny"/>
    <w:link w:val="TekstprzypisukocowegoZnak"/>
    <w:uiPriority w:val="99"/>
    <w:semiHidden/>
    <w:unhideWhenUsed/>
    <w:rsid w:val="009773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7736C"/>
    <w:rPr>
      <w:sz w:val="20"/>
      <w:szCs w:val="20"/>
    </w:rPr>
  </w:style>
  <w:style w:type="character" w:styleId="Odwoanieprzypisukocowego">
    <w:name w:val="endnote reference"/>
    <w:basedOn w:val="Domylnaczcionkaakapitu"/>
    <w:uiPriority w:val="99"/>
    <w:semiHidden/>
    <w:unhideWhenUsed/>
    <w:rsid w:val="0097736C"/>
    <w:rPr>
      <w:vertAlign w:val="superscript"/>
    </w:rPr>
  </w:style>
  <w:style w:type="paragraph" w:styleId="Tekstprzypisudolnego">
    <w:name w:val="footnote text"/>
    <w:basedOn w:val="Normalny"/>
    <w:link w:val="TekstprzypisudolnegoZnak"/>
    <w:uiPriority w:val="99"/>
    <w:semiHidden/>
    <w:unhideWhenUsed/>
    <w:rsid w:val="00E870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701B"/>
    <w:rPr>
      <w:sz w:val="20"/>
      <w:szCs w:val="20"/>
    </w:rPr>
  </w:style>
  <w:style w:type="character" w:styleId="Odwoanieprzypisudolnego">
    <w:name w:val="footnote reference"/>
    <w:aliases w:val="ewa,Footnote Reference Number,Odwołanie przypisu Znak Znak,Odwołanie przypisu,Odwo3anie przypisu,SUPERS,Odsy³acz przypisu dolnego 1,Odsy3acz przypisu dolnego 1,Odsyłacz przypisu dolnego 1,FZ,Footnote symbol,Voetnootverwijzing"/>
    <w:basedOn w:val="Domylnaczcionkaakapitu"/>
    <w:uiPriority w:val="99"/>
    <w:rsid w:val="00E8701B"/>
    <w:rPr>
      <w:vertAlign w:val="superscript"/>
    </w:rPr>
  </w:style>
  <w:style w:type="character" w:styleId="Hipercze">
    <w:name w:val="Hyperlink"/>
    <w:basedOn w:val="Domylnaczcionkaakapitu"/>
    <w:uiPriority w:val="99"/>
    <w:unhideWhenUsed/>
    <w:rsid w:val="0031145B"/>
    <w:rPr>
      <w:color w:val="0563C1" w:themeColor="hyperlink"/>
      <w:u w:val="single"/>
    </w:rPr>
  </w:style>
  <w:style w:type="character" w:styleId="Nierozpoznanawzmianka">
    <w:name w:val="Unresolved Mention"/>
    <w:basedOn w:val="Domylnaczcionkaakapitu"/>
    <w:uiPriority w:val="99"/>
    <w:semiHidden/>
    <w:unhideWhenUsed/>
    <w:rsid w:val="0031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419093">
      <w:bodyDiv w:val="1"/>
      <w:marLeft w:val="0"/>
      <w:marRight w:val="0"/>
      <w:marTop w:val="0"/>
      <w:marBottom w:val="0"/>
      <w:divBdr>
        <w:top w:val="none" w:sz="0" w:space="0" w:color="auto"/>
        <w:left w:val="none" w:sz="0" w:space="0" w:color="auto"/>
        <w:bottom w:val="none" w:sz="0" w:space="0" w:color="auto"/>
        <w:right w:val="none" w:sz="0" w:space="0" w:color="auto"/>
      </w:divBdr>
      <w:divsChild>
        <w:div w:id="1323510893">
          <w:marLeft w:val="0"/>
          <w:marRight w:val="0"/>
          <w:marTop w:val="150"/>
          <w:marBottom w:val="168"/>
          <w:divBdr>
            <w:top w:val="none" w:sz="0" w:space="0" w:color="auto"/>
            <w:left w:val="none" w:sz="0" w:space="0" w:color="auto"/>
            <w:bottom w:val="none" w:sz="0" w:space="0" w:color="auto"/>
            <w:right w:val="none" w:sz="0" w:space="0" w:color="auto"/>
          </w:divBdr>
        </w:div>
        <w:div w:id="1503740298">
          <w:marLeft w:val="0"/>
          <w:marRight w:val="0"/>
          <w:marTop w:val="0"/>
          <w:marBottom w:val="0"/>
          <w:divBdr>
            <w:top w:val="none" w:sz="0" w:space="0" w:color="auto"/>
            <w:left w:val="none" w:sz="0" w:space="0" w:color="auto"/>
            <w:bottom w:val="none" w:sz="0" w:space="0" w:color="auto"/>
            <w:right w:val="none" w:sz="0" w:space="0" w:color="auto"/>
          </w:divBdr>
        </w:div>
        <w:div w:id="141154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157B-2CA4-4A3B-93F4-B6191D44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1260</Words>
  <Characters>8812</Characters>
  <Application>Microsoft Office Word</Application>
  <DocSecurity>0</DocSecurity>
  <Lines>134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Horosz</dc:creator>
  <cp:keywords/>
  <dc:description/>
  <cp:lastModifiedBy>Piotr Horosz</cp:lastModifiedBy>
  <cp:revision>18</cp:revision>
  <dcterms:created xsi:type="dcterms:W3CDTF">2021-05-11T19:42:00Z</dcterms:created>
  <dcterms:modified xsi:type="dcterms:W3CDTF">2022-02-04T13:06:00Z</dcterms:modified>
</cp:coreProperties>
</file>