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BC158" w14:textId="77777777" w:rsidR="001229F3" w:rsidRPr="00BD49EE" w:rsidRDefault="001229F3" w:rsidP="009C0155">
      <w:pPr>
        <w:pStyle w:val="StylTekstpodstawowyInterlinia15wiersza"/>
        <w:ind w:firstLine="708"/>
        <w:rPr>
          <w:b/>
          <w:bCs/>
          <w:caps/>
          <w:color w:val="000000"/>
          <w:szCs w:val="24"/>
        </w:rPr>
      </w:pPr>
    </w:p>
    <w:p w14:paraId="01243615" w14:textId="332DCEEE" w:rsidR="001229F3" w:rsidRPr="00BD49EE" w:rsidRDefault="001229F3" w:rsidP="009C0155">
      <w:pPr>
        <w:pStyle w:val="StylTekstpodstawowyInterlinia15wiersza"/>
        <w:ind w:firstLine="708"/>
        <w:jc w:val="center"/>
        <w:rPr>
          <w:b/>
          <w:bCs/>
          <w:caps/>
          <w:color w:val="000000"/>
          <w:szCs w:val="24"/>
        </w:rPr>
      </w:pPr>
      <w:r w:rsidRPr="00BD49EE">
        <w:rPr>
          <w:b/>
          <w:bCs/>
          <w:caps/>
          <w:color w:val="000000"/>
          <w:szCs w:val="24"/>
        </w:rPr>
        <w:t>Prawo Restrukturyzacyjne</w:t>
      </w:r>
      <w:r w:rsidR="00A56BD2">
        <w:rPr>
          <w:b/>
          <w:bCs/>
          <w:caps/>
          <w:color w:val="000000"/>
          <w:szCs w:val="24"/>
        </w:rPr>
        <w:t xml:space="preserve"> – Cz. 1 – GENEZA, </w:t>
      </w:r>
      <w:r w:rsidR="00C85D67">
        <w:rPr>
          <w:b/>
          <w:bCs/>
          <w:caps/>
          <w:color w:val="000000"/>
          <w:szCs w:val="24"/>
        </w:rPr>
        <w:t>CELE</w:t>
      </w:r>
      <w:r w:rsidR="00640E7D">
        <w:rPr>
          <w:b/>
          <w:bCs/>
          <w:caps/>
          <w:color w:val="000000"/>
          <w:szCs w:val="24"/>
        </w:rPr>
        <w:t>, FUNKCJE</w:t>
      </w:r>
      <w:r w:rsidR="00C85D67">
        <w:rPr>
          <w:b/>
          <w:bCs/>
          <w:caps/>
          <w:color w:val="000000"/>
          <w:szCs w:val="24"/>
        </w:rPr>
        <w:t xml:space="preserve"> i ZASADY</w:t>
      </w:r>
    </w:p>
    <w:p w14:paraId="1D3DD17A" w14:textId="77777777" w:rsidR="001229F3" w:rsidRPr="00BD49EE" w:rsidRDefault="001229F3" w:rsidP="009C0155">
      <w:pPr>
        <w:pStyle w:val="StylTekstpodstawowyInterlinia15wiersza"/>
        <w:ind w:firstLine="708"/>
        <w:rPr>
          <w:b/>
          <w:bCs/>
          <w:caps/>
          <w:color w:val="000000"/>
          <w:szCs w:val="24"/>
        </w:rPr>
      </w:pPr>
    </w:p>
    <w:p w14:paraId="653B832B" w14:textId="559D85C9" w:rsidR="001229F3" w:rsidRDefault="001229F3" w:rsidP="009C0155">
      <w:pPr>
        <w:spacing w:line="360" w:lineRule="auto"/>
        <w:jc w:val="both"/>
      </w:pPr>
    </w:p>
    <w:p w14:paraId="17224A50" w14:textId="5BF77FA8" w:rsidR="00C85D67" w:rsidRDefault="00C85D67" w:rsidP="009C0155">
      <w:pPr>
        <w:spacing w:line="360" w:lineRule="auto"/>
        <w:jc w:val="both"/>
      </w:pPr>
      <w:r>
        <w:t xml:space="preserve"> </w:t>
      </w:r>
    </w:p>
    <w:p w14:paraId="40E92DFE" w14:textId="444FD892" w:rsidR="00C85D67" w:rsidRPr="00C85D67" w:rsidRDefault="00C85D67" w:rsidP="009C0155">
      <w:pPr>
        <w:pStyle w:val="Akapitzlist"/>
        <w:numPr>
          <w:ilvl w:val="0"/>
          <w:numId w:val="1"/>
        </w:numPr>
        <w:tabs>
          <w:tab w:val="clear" w:pos="720"/>
        </w:tabs>
        <w:spacing w:line="360" w:lineRule="auto"/>
        <w:ind w:left="0" w:firstLine="0"/>
        <w:rPr>
          <w:b/>
          <w:bCs/>
        </w:rPr>
      </w:pPr>
      <w:r w:rsidRPr="00C85D67">
        <w:rPr>
          <w:b/>
          <w:bCs/>
        </w:rPr>
        <w:t>Geneza regulacji</w:t>
      </w:r>
    </w:p>
    <w:p w14:paraId="463444DC" w14:textId="5E42945F" w:rsidR="00C85D67" w:rsidRPr="00C85D67" w:rsidRDefault="00C85D67" w:rsidP="009C0155">
      <w:pPr>
        <w:pStyle w:val="Akapitzlist"/>
        <w:spacing w:line="360" w:lineRule="auto"/>
        <w:ind w:left="0"/>
        <w:rPr>
          <w:b/>
          <w:bCs/>
        </w:rPr>
      </w:pPr>
    </w:p>
    <w:p w14:paraId="3B42E24B" w14:textId="27B191E8" w:rsidR="00C85D67" w:rsidRPr="00C85D67" w:rsidRDefault="00C85D67" w:rsidP="009C0155">
      <w:pPr>
        <w:pStyle w:val="Akapitzlist"/>
        <w:numPr>
          <w:ilvl w:val="1"/>
          <w:numId w:val="10"/>
        </w:numPr>
        <w:spacing w:line="360" w:lineRule="auto"/>
        <w:ind w:left="0" w:firstLine="0"/>
        <w:rPr>
          <w:b/>
          <w:bCs/>
        </w:rPr>
      </w:pPr>
      <w:r w:rsidRPr="00C85D67">
        <w:rPr>
          <w:b/>
          <w:bCs/>
        </w:rPr>
        <w:t>Sytuacja pod rządami Prawa upadłościowego i naprawczego (do 01.01.2016 r.)</w:t>
      </w:r>
    </w:p>
    <w:p w14:paraId="62373145" w14:textId="0C669910" w:rsidR="00C85D67" w:rsidRDefault="00C85D67" w:rsidP="009C0155">
      <w:pPr>
        <w:spacing w:line="360" w:lineRule="auto"/>
        <w:jc w:val="both"/>
      </w:pPr>
    </w:p>
    <w:p w14:paraId="570ABD59" w14:textId="46A51A5F" w:rsidR="00C85D67" w:rsidRDefault="009C0155" w:rsidP="009C0155">
      <w:pPr>
        <w:spacing w:line="360" w:lineRule="auto"/>
        <w:ind w:firstLine="708"/>
        <w:jc w:val="both"/>
      </w:pPr>
      <w:r>
        <w:t xml:space="preserve">Tworząc ustawę Prawo upadłościowe i naprawcze z dnia 28 lutego 2003 r. </w:t>
      </w:r>
      <w:r w:rsidR="00FE3245">
        <w:t>(dalej jako PUN. Aktualny tytuł - Prawo upadłościowe</w:t>
      </w:r>
      <w:r w:rsidR="002B3324">
        <w:t xml:space="preserve"> - PU</w:t>
      </w:r>
      <w:r w:rsidR="00FE3245">
        <w:t xml:space="preserve">) </w:t>
      </w:r>
      <w:r>
        <w:t xml:space="preserve">prawodawca zrezygnował z opartego na przyjętym w okresie dwudziestolecia międzywojennego podziale postepowań związanych z niewypłacalnością lub zagrożeniem niewypłacalnością dłużnika pomiędzy dwa uzupełniające się akty prawne </w:t>
      </w:r>
      <w:r w:rsidR="00FE3245">
        <w:t xml:space="preserve">z 1934 r. </w:t>
      </w:r>
      <w:r>
        <w:t xml:space="preserve">– Prawo upadłościowe i Prawo układowe. </w:t>
      </w:r>
    </w:p>
    <w:p w14:paraId="6387D4A2" w14:textId="46F17D1D" w:rsidR="00EC222B" w:rsidRDefault="00F573E1" w:rsidP="009C0155">
      <w:pPr>
        <w:spacing w:line="360" w:lineRule="auto"/>
        <w:jc w:val="both"/>
        <w:rPr>
          <w:rFonts w:eastAsia="Calibri"/>
          <w:lang w:eastAsia="en-US"/>
        </w:rPr>
      </w:pPr>
      <w:r w:rsidRPr="00BD49EE">
        <w:rPr>
          <w:rFonts w:eastAsia="Calibri"/>
          <w:lang w:eastAsia="en-US"/>
        </w:rPr>
        <w:tab/>
      </w:r>
      <w:r w:rsidR="00FE3245">
        <w:rPr>
          <w:rFonts w:eastAsia="Calibri"/>
          <w:lang w:eastAsia="en-US"/>
        </w:rPr>
        <w:t xml:space="preserve">Zamiast tego </w:t>
      </w:r>
      <w:r w:rsidR="00EC222B">
        <w:rPr>
          <w:rFonts w:eastAsia="Calibri"/>
          <w:lang w:eastAsia="en-US"/>
        </w:rPr>
        <w:t>w jednej ustawie u</w:t>
      </w:r>
      <w:r w:rsidRPr="00BD49EE">
        <w:rPr>
          <w:rFonts w:eastAsia="Calibri"/>
          <w:lang w:eastAsia="en-US"/>
        </w:rPr>
        <w:t>regul</w:t>
      </w:r>
      <w:r w:rsidR="00EC222B">
        <w:rPr>
          <w:rFonts w:eastAsia="Calibri"/>
          <w:lang w:eastAsia="en-US"/>
        </w:rPr>
        <w:t>owano</w:t>
      </w:r>
      <w:r w:rsidRPr="00BD49EE">
        <w:rPr>
          <w:rFonts w:eastAsia="Calibri"/>
          <w:lang w:eastAsia="en-US"/>
        </w:rPr>
        <w:t xml:space="preserve"> dwa zasadnicze rodzaje niezależnych od siebie postępowań – postępowanie upadłościowe</w:t>
      </w:r>
      <w:r w:rsidR="00EC222B">
        <w:rPr>
          <w:rFonts w:eastAsia="Calibri"/>
          <w:lang w:eastAsia="en-US"/>
        </w:rPr>
        <w:t>, polegające</w:t>
      </w:r>
      <w:r w:rsidRPr="00BD49EE">
        <w:rPr>
          <w:rFonts w:eastAsia="Calibri"/>
          <w:lang w:eastAsia="en-US"/>
        </w:rPr>
        <w:t xml:space="preserve"> </w:t>
      </w:r>
      <w:r w:rsidR="00EC222B" w:rsidRPr="00BD49EE">
        <w:rPr>
          <w:rFonts w:eastAsia="Calibri"/>
          <w:bCs/>
          <w:lang w:eastAsia="en-US"/>
        </w:rPr>
        <w:t xml:space="preserve">na </w:t>
      </w:r>
      <w:r w:rsidR="00EC222B" w:rsidRPr="00BD49EE">
        <w:rPr>
          <w:rFonts w:eastAsia="Calibri"/>
          <w:lang w:eastAsia="en-US"/>
        </w:rPr>
        <w:t>wspólnym dochodzenia roszczeń wierzycieli</w:t>
      </w:r>
      <w:r w:rsidR="00EC222B" w:rsidRPr="00BD49EE">
        <w:rPr>
          <w:rFonts w:eastAsia="Calibri"/>
          <w:bCs/>
          <w:lang w:eastAsia="en-US"/>
        </w:rPr>
        <w:t xml:space="preserve"> wobec </w:t>
      </w:r>
      <w:r w:rsidR="00EC222B" w:rsidRPr="00BD49EE">
        <w:rPr>
          <w:rFonts w:eastAsia="Calibri"/>
          <w:lang w:eastAsia="en-US"/>
        </w:rPr>
        <w:t xml:space="preserve">niewypłacalnych dłużników </w:t>
      </w:r>
      <w:r w:rsidRPr="00BD49EE">
        <w:rPr>
          <w:rFonts w:eastAsia="Calibri"/>
          <w:lang w:eastAsia="en-US"/>
        </w:rPr>
        <w:t>i postępowanie naprawcze</w:t>
      </w:r>
      <w:r w:rsidR="00EC222B">
        <w:rPr>
          <w:rFonts w:eastAsia="Calibri"/>
          <w:lang w:eastAsia="en-US"/>
        </w:rPr>
        <w:t>,</w:t>
      </w:r>
      <w:r w:rsidR="00EC222B" w:rsidRPr="00EC222B">
        <w:rPr>
          <w:rFonts w:eastAsia="Calibri"/>
          <w:lang w:eastAsia="en-US"/>
        </w:rPr>
        <w:t xml:space="preserve"> </w:t>
      </w:r>
      <w:r w:rsidR="00EC222B" w:rsidRPr="00BD49EE">
        <w:rPr>
          <w:rFonts w:eastAsia="Calibri"/>
          <w:bCs/>
          <w:lang w:eastAsia="en-US"/>
        </w:rPr>
        <w:t>które</w:t>
      </w:r>
      <w:r w:rsidR="00EC222B" w:rsidRPr="00BD49EE">
        <w:rPr>
          <w:rFonts w:eastAsia="Calibri"/>
          <w:lang w:eastAsia="en-US"/>
        </w:rPr>
        <w:t xml:space="preserve"> mo</w:t>
      </w:r>
      <w:r w:rsidR="00EC222B">
        <w:rPr>
          <w:rFonts w:eastAsia="Calibri"/>
          <w:lang w:eastAsia="en-US"/>
        </w:rPr>
        <w:t>gło</w:t>
      </w:r>
      <w:r w:rsidR="00EC222B" w:rsidRPr="00BD49EE">
        <w:rPr>
          <w:rFonts w:eastAsia="Calibri"/>
          <w:lang w:eastAsia="en-US"/>
        </w:rPr>
        <w:t xml:space="preserve"> być prowadzone wyłącznie w stosunku do zagrożonych niewypłacalnością przedsiębiorców</w:t>
      </w:r>
      <w:r w:rsidRPr="00BD49EE">
        <w:rPr>
          <w:rFonts w:eastAsia="Calibri"/>
          <w:lang w:eastAsia="en-US"/>
        </w:rPr>
        <w:t xml:space="preserve">. </w:t>
      </w:r>
    </w:p>
    <w:p w14:paraId="4FF31227" w14:textId="520B9289" w:rsidR="00F573E1" w:rsidRPr="00BD49EE" w:rsidRDefault="00F573E1" w:rsidP="00EC222B">
      <w:pPr>
        <w:spacing w:line="360" w:lineRule="auto"/>
        <w:ind w:firstLine="708"/>
        <w:jc w:val="both"/>
        <w:rPr>
          <w:rFonts w:eastAsia="Calibri"/>
          <w:lang w:eastAsia="en-US"/>
        </w:rPr>
      </w:pPr>
      <w:r w:rsidRPr="00BD49EE">
        <w:rPr>
          <w:rFonts w:eastAsia="Calibri"/>
          <w:lang w:eastAsia="en-US"/>
        </w:rPr>
        <w:t>Podstawowym celem postępowania upadłościowego,</w:t>
      </w:r>
      <w:r w:rsidR="00EC222B">
        <w:rPr>
          <w:rFonts w:eastAsia="Calibri"/>
          <w:lang w:eastAsia="en-US"/>
        </w:rPr>
        <w:t xml:space="preserve"> miało być, tak jak w obecnym stanie prawnym</w:t>
      </w:r>
      <w:r w:rsidRPr="00BD49EE">
        <w:rPr>
          <w:rFonts w:eastAsia="Calibri"/>
          <w:lang w:eastAsia="en-US"/>
        </w:rPr>
        <w:t>, zaspokojenie wierzycieli upadłego. Z punktu widzenia gospodarczego celu upadłości, postępowanie to zmierza</w:t>
      </w:r>
      <w:r w:rsidR="00EC222B">
        <w:rPr>
          <w:rFonts w:eastAsia="Calibri"/>
          <w:lang w:eastAsia="en-US"/>
        </w:rPr>
        <w:t>ło</w:t>
      </w:r>
      <w:r w:rsidRPr="00BD49EE">
        <w:rPr>
          <w:rFonts w:eastAsia="Calibri"/>
          <w:lang w:eastAsia="en-US"/>
        </w:rPr>
        <w:t xml:space="preserve"> zatem zasadniczo do ograniczenia skutków niewypłacalności dłużnika dla jego wierzycieli i ich zaspokojenia z majątku upadłego w maksymalnym stopniu. </w:t>
      </w:r>
    </w:p>
    <w:p w14:paraId="40E5822A" w14:textId="6FDACABB" w:rsidR="00F573E1" w:rsidRPr="00BD49EE" w:rsidRDefault="00F573E1" w:rsidP="00EC222B">
      <w:pPr>
        <w:spacing w:line="360" w:lineRule="auto"/>
        <w:jc w:val="both"/>
        <w:rPr>
          <w:rFonts w:eastAsia="Calibri"/>
          <w:b/>
          <w:lang w:eastAsia="en-US"/>
        </w:rPr>
      </w:pPr>
      <w:r w:rsidRPr="00BD49EE">
        <w:rPr>
          <w:rFonts w:eastAsia="Calibri"/>
          <w:lang w:eastAsia="en-US"/>
        </w:rPr>
        <w:tab/>
      </w:r>
      <w:r w:rsidR="00EC222B">
        <w:rPr>
          <w:rFonts w:eastAsia="Calibri"/>
          <w:lang w:eastAsia="en-US"/>
        </w:rPr>
        <w:t>Z kolei postępowanie naprawcze miało z</w:t>
      </w:r>
      <w:r w:rsidRPr="00BD49EE">
        <w:rPr>
          <w:rFonts w:eastAsia="Calibri"/>
          <w:lang w:eastAsia="en-US"/>
        </w:rPr>
        <w:t>mierza</w:t>
      </w:r>
      <w:r w:rsidR="00EC222B">
        <w:rPr>
          <w:rFonts w:eastAsia="Calibri"/>
          <w:lang w:eastAsia="en-US"/>
        </w:rPr>
        <w:t>ć</w:t>
      </w:r>
      <w:r w:rsidRPr="00BD49EE">
        <w:rPr>
          <w:rFonts w:eastAsia="Calibri"/>
          <w:lang w:eastAsia="en-US"/>
        </w:rPr>
        <w:t xml:space="preserve"> z zasady do uzdrowienia sytuacji ekonomiczno-finansowej danego przedsiębiorcy i zapobieżenia grożącej mu niewypłacalności – a tym samym uniknięcia konieczności ogłoszenia jego upadłości, choć jego celem nadrzędnym również </w:t>
      </w:r>
      <w:r w:rsidR="00EC222B">
        <w:rPr>
          <w:rFonts w:eastAsia="Calibri"/>
          <w:lang w:eastAsia="en-US"/>
        </w:rPr>
        <w:t>miało być</w:t>
      </w:r>
      <w:r w:rsidRPr="00BD49EE">
        <w:rPr>
          <w:rFonts w:eastAsia="Calibri"/>
          <w:lang w:eastAsia="en-US"/>
        </w:rPr>
        <w:t xml:space="preserve"> zaspokojenie roszczeń wierzycieli w jak najwyższym stopniu. Jego wynikiem powinien być układ naprawczy i  - poprzez restrukturyzacje zobowiązań zagrożonego niewypłacalnością przedsiębiorcy - uzdrowienie jego sytuacji ekonomiczno-finansowej i uniknięcie konieczności wszczęcia postępowania upadłościowego. </w:t>
      </w:r>
    </w:p>
    <w:p w14:paraId="3FBF635E" w14:textId="37A06B6F" w:rsidR="00F573E1" w:rsidRPr="00BD49EE" w:rsidRDefault="00F573E1" w:rsidP="009C0155">
      <w:pPr>
        <w:spacing w:line="360" w:lineRule="auto"/>
        <w:jc w:val="both"/>
        <w:rPr>
          <w:rFonts w:eastAsia="Calibri"/>
          <w:lang w:eastAsia="en-US"/>
        </w:rPr>
      </w:pPr>
      <w:r w:rsidRPr="00BD49EE">
        <w:rPr>
          <w:rFonts w:eastAsia="Calibri"/>
          <w:lang w:eastAsia="en-US"/>
        </w:rPr>
        <w:tab/>
      </w:r>
      <w:r w:rsidR="00EC222B">
        <w:rPr>
          <w:rFonts w:eastAsia="Calibri"/>
          <w:lang w:eastAsia="en-US"/>
        </w:rPr>
        <w:t xml:space="preserve">Z kolei samo postępowanie upadłościowe w myśl ówczesnych regulacji mogło być </w:t>
      </w:r>
      <w:r w:rsidRPr="00BD49EE">
        <w:rPr>
          <w:rFonts w:eastAsia="Calibri"/>
          <w:lang w:eastAsia="en-US"/>
        </w:rPr>
        <w:t xml:space="preserve">prowadzone w jednym z dwóch trybów - jako postępowanie upadłościowe z możliwością </w:t>
      </w:r>
      <w:r w:rsidRPr="00BD49EE">
        <w:rPr>
          <w:rFonts w:eastAsia="Calibri"/>
          <w:lang w:eastAsia="en-US"/>
        </w:rPr>
        <w:lastRenderedPageBreak/>
        <w:t>zawarcia układu i postępowanie upadłościowe obejmujące likwidację majątku upadłego. Rodzaj postępowania upadłościowego determin</w:t>
      </w:r>
      <w:r w:rsidR="005C069E">
        <w:rPr>
          <w:rFonts w:eastAsia="Calibri"/>
          <w:lang w:eastAsia="en-US"/>
        </w:rPr>
        <w:t>ował</w:t>
      </w:r>
      <w:r w:rsidRPr="00BD49EE">
        <w:rPr>
          <w:rFonts w:eastAsia="Calibri"/>
          <w:lang w:eastAsia="en-US"/>
        </w:rPr>
        <w:t xml:space="preserve"> jego przebieg i ostateczny rezultat. </w:t>
      </w:r>
    </w:p>
    <w:p w14:paraId="2C53EC62" w14:textId="62809C60" w:rsidR="00F573E1" w:rsidRPr="00BD49EE" w:rsidRDefault="00F573E1" w:rsidP="009C0155">
      <w:pPr>
        <w:spacing w:line="360" w:lineRule="auto"/>
        <w:jc w:val="both"/>
        <w:rPr>
          <w:rFonts w:eastAsia="Calibri"/>
          <w:lang w:eastAsia="en-US"/>
        </w:rPr>
      </w:pPr>
      <w:r w:rsidRPr="00BD49EE">
        <w:rPr>
          <w:rFonts w:eastAsia="Calibri"/>
          <w:lang w:eastAsia="en-US"/>
        </w:rPr>
        <w:tab/>
        <w:t>W przypadku upadłości z możliwością zawarcia układu postępowanie zmierza</w:t>
      </w:r>
      <w:r w:rsidR="005C069E">
        <w:rPr>
          <w:rFonts w:eastAsia="Calibri"/>
          <w:lang w:eastAsia="en-US"/>
        </w:rPr>
        <w:t>ło</w:t>
      </w:r>
      <w:r w:rsidRPr="00BD49EE">
        <w:rPr>
          <w:rFonts w:eastAsia="Calibri"/>
          <w:lang w:eastAsia="en-US"/>
        </w:rPr>
        <w:t xml:space="preserve"> do zawarcia przez dłużnika </w:t>
      </w:r>
      <w:r w:rsidR="005C069E" w:rsidRPr="00BD49EE">
        <w:rPr>
          <w:rFonts w:eastAsia="Calibri"/>
          <w:lang w:eastAsia="en-US"/>
        </w:rPr>
        <w:t>układu</w:t>
      </w:r>
      <w:r w:rsidR="005C069E">
        <w:rPr>
          <w:rFonts w:eastAsia="Calibri"/>
          <w:lang w:eastAsia="en-US"/>
        </w:rPr>
        <w:t xml:space="preserve"> - czyli</w:t>
      </w:r>
      <w:r w:rsidR="005C069E" w:rsidRPr="00BD49EE">
        <w:rPr>
          <w:rFonts w:eastAsia="Calibri"/>
          <w:lang w:eastAsia="en-US"/>
        </w:rPr>
        <w:t xml:space="preserve"> </w:t>
      </w:r>
      <w:r w:rsidRPr="00BD49EE">
        <w:rPr>
          <w:rFonts w:eastAsia="Calibri"/>
          <w:lang w:eastAsia="en-US"/>
        </w:rPr>
        <w:t>porozumienia z wierzycielami określającego warunki spłaty zadłużenia</w:t>
      </w:r>
      <w:r w:rsidR="00133DF4">
        <w:rPr>
          <w:rFonts w:eastAsia="Calibri"/>
          <w:lang w:eastAsia="en-US"/>
        </w:rPr>
        <w:t>.</w:t>
      </w:r>
      <w:r w:rsidRPr="00BD49EE">
        <w:rPr>
          <w:rFonts w:eastAsia="Calibri"/>
          <w:lang w:eastAsia="en-US"/>
        </w:rPr>
        <w:t xml:space="preserve"> Propozycje układowe, zgodnie z wyliczeniem dokonanym przez ustawodawcę w art. 270 PUN, przewidywać mog</w:t>
      </w:r>
      <w:r w:rsidR="005C069E">
        <w:rPr>
          <w:rFonts w:eastAsia="Calibri"/>
          <w:lang w:eastAsia="en-US"/>
        </w:rPr>
        <w:t>ły</w:t>
      </w:r>
      <w:r w:rsidRPr="00BD49EE">
        <w:rPr>
          <w:rFonts w:eastAsia="Calibri"/>
          <w:lang w:eastAsia="en-US"/>
        </w:rPr>
        <w:t xml:space="preserve"> m in. odroczenie wykonania zobowiązań przez dłużnika, ich częściową redukcję i rozłożenie spłaty na raty, a także konwersję wierzytelności na udziały lub akcje, wyliczenie to ma jednak </w:t>
      </w:r>
      <w:r w:rsidR="005C069E">
        <w:rPr>
          <w:rFonts w:eastAsia="Calibri"/>
          <w:lang w:eastAsia="en-US"/>
        </w:rPr>
        <w:t xml:space="preserve">miało </w:t>
      </w:r>
      <w:r w:rsidRPr="00BD49EE">
        <w:rPr>
          <w:rFonts w:eastAsia="Calibri"/>
          <w:lang w:eastAsia="en-US"/>
        </w:rPr>
        <w:t>jedynie charakter przykładowy, na co wskaz</w:t>
      </w:r>
      <w:r w:rsidR="005C069E">
        <w:rPr>
          <w:rFonts w:eastAsia="Calibri"/>
          <w:lang w:eastAsia="en-US"/>
        </w:rPr>
        <w:t>ywało</w:t>
      </w:r>
      <w:r w:rsidRPr="00BD49EE">
        <w:rPr>
          <w:rFonts w:eastAsia="Calibri"/>
          <w:lang w:eastAsia="en-US"/>
        </w:rPr>
        <w:t xml:space="preserve"> użycie przez ustawodawcę zwrotu „w szczególności”. Do rzadkości należy przy tym układ likwidacyjny zmierzający do zaspokojenia wierzycieli upadłego poprzez likwidację jego majątku, dokonywaną jednak nie w ramach upadłości likwidacyjnej, lecz układowej. Regułą </w:t>
      </w:r>
      <w:r w:rsidR="005C069E">
        <w:rPr>
          <w:rFonts w:eastAsia="Calibri"/>
          <w:lang w:eastAsia="en-US"/>
        </w:rPr>
        <w:t>był</w:t>
      </w:r>
      <w:r w:rsidRPr="00BD49EE">
        <w:rPr>
          <w:rFonts w:eastAsia="Calibri"/>
          <w:lang w:eastAsia="en-US"/>
        </w:rPr>
        <w:t xml:space="preserve"> natomiast układ restrukturyzacyjny, umożliwiający dalsze funkcjonowanie przedsiębiorstwa dłużnika, pozwalający na spłatę wierzycieli z efektów tej działalności</w:t>
      </w:r>
      <w:r w:rsidR="005C069E">
        <w:rPr>
          <w:rFonts w:eastAsia="Calibri"/>
          <w:lang w:eastAsia="en-US"/>
        </w:rPr>
        <w:t xml:space="preserve">, </w:t>
      </w:r>
      <w:r w:rsidRPr="00BD49EE">
        <w:rPr>
          <w:rFonts w:eastAsia="Calibri"/>
          <w:lang w:eastAsia="en-US"/>
        </w:rPr>
        <w:t xml:space="preserve">zgodnie z postanowieniami zatwierdzonego przez </w:t>
      </w:r>
      <w:r w:rsidR="005C069E">
        <w:rPr>
          <w:rFonts w:eastAsia="Calibri"/>
          <w:lang w:eastAsia="en-US"/>
        </w:rPr>
        <w:t xml:space="preserve">wierzycieli </w:t>
      </w:r>
      <w:r w:rsidRPr="00BD49EE">
        <w:rPr>
          <w:rFonts w:eastAsia="Calibri"/>
          <w:lang w:eastAsia="en-US"/>
        </w:rPr>
        <w:t xml:space="preserve">układu. Efektem w pełni zrealizowanego układu </w:t>
      </w:r>
      <w:r w:rsidR="005C069E">
        <w:rPr>
          <w:rFonts w:eastAsia="Calibri"/>
          <w:lang w:eastAsia="en-US"/>
        </w:rPr>
        <w:t xml:space="preserve">miała być </w:t>
      </w:r>
      <w:r w:rsidRPr="00BD49EE">
        <w:rPr>
          <w:rFonts w:eastAsia="Calibri"/>
          <w:lang w:eastAsia="en-US"/>
        </w:rPr>
        <w:t>z zasady przynajmniej częściowa spłata wszystkich wierzytelności objętych postępowaniem upadłościowym prowadzonym z możliwością zawarcia układu i utrzymanie przedsiębiorstwa dłużnika</w:t>
      </w:r>
      <w:r w:rsidR="005C069E">
        <w:rPr>
          <w:rFonts w:eastAsia="Calibri"/>
          <w:lang w:eastAsia="en-US"/>
        </w:rPr>
        <w:t>.</w:t>
      </w:r>
      <w:r w:rsidRPr="00BD49EE">
        <w:rPr>
          <w:rFonts w:eastAsia="Calibri"/>
          <w:lang w:eastAsia="en-US"/>
        </w:rPr>
        <w:t xml:space="preserve"> </w:t>
      </w:r>
      <w:r w:rsidR="005C069E">
        <w:rPr>
          <w:rFonts w:eastAsia="Calibri"/>
          <w:lang w:eastAsia="en-US"/>
        </w:rPr>
        <w:t>W</w:t>
      </w:r>
      <w:r w:rsidRPr="00BD49EE">
        <w:rPr>
          <w:rFonts w:eastAsia="Calibri"/>
          <w:lang w:eastAsia="en-US"/>
        </w:rPr>
        <w:t xml:space="preserve"> tym trybie postępowania upadłościowego obok funkcji windykacyjnej realizowana </w:t>
      </w:r>
      <w:r w:rsidR="005C069E">
        <w:rPr>
          <w:rFonts w:eastAsia="Calibri"/>
          <w:lang w:eastAsia="en-US"/>
        </w:rPr>
        <w:t>była</w:t>
      </w:r>
      <w:r w:rsidRPr="00BD49EE">
        <w:rPr>
          <w:rFonts w:eastAsia="Calibri"/>
          <w:lang w:eastAsia="en-US"/>
        </w:rPr>
        <w:t xml:space="preserve"> zatem również funkcja sanacyjna. </w:t>
      </w:r>
    </w:p>
    <w:p w14:paraId="60CE7AA5" w14:textId="2D6EE267" w:rsidR="00F573E1" w:rsidRPr="00BD49EE" w:rsidRDefault="00F573E1" w:rsidP="009C0155">
      <w:pPr>
        <w:spacing w:line="360" w:lineRule="auto"/>
        <w:jc w:val="both"/>
        <w:rPr>
          <w:rFonts w:eastAsia="Calibri"/>
          <w:lang w:eastAsia="en-US"/>
        </w:rPr>
      </w:pPr>
      <w:r w:rsidRPr="00BD49EE">
        <w:rPr>
          <w:rFonts w:eastAsia="Calibri"/>
          <w:lang w:eastAsia="en-US"/>
        </w:rPr>
        <w:tab/>
        <w:t xml:space="preserve">Zgodnie z </w:t>
      </w:r>
      <w:r w:rsidR="005C069E">
        <w:rPr>
          <w:rFonts w:eastAsia="Calibri"/>
          <w:lang w:eastAsia="en-US"/>
        </w:rPr>
        <w:t xml:space="preserve">ówczesnym brzmieniem </w:t>
      </w:r>
      <w:r w:rsidRPr="00BD49EE">
        <w:rPr>
          <w:rFonts w:eastAsia="Calibri"/>
          <w:lang w:eastAsia="en-US"/>
        </w:rPr>
        <w:t xml:space="preserve">art. 14 PUN, upadłość z możliwością zawarcia układu </w:t>
      </w:r>
      <w:r w:rsidR="006B7722">
        <w:rPr>
          <w:rFonts w:eastAsia="Calibri"/>
          <w:lang w:eastAsia="en-US"/>
        </w:rPr>
        <w:t>była ogłaszana</w:t>
      </w:r>
      <w:r w:rsidRPr="00BD49EE">
        <w:rPr>
          <w:rFonts w:eastAsia="Calibri"/>
          <w:lang w:eastAsia="en-US"/>
        </w:rPr>
        <w:t xml:space="preserve"> </w:t>
      </w:r>
      <w:r w:rsidR="006B7722">
        <w:rPr>
          <w:rFonts w:eastAsia="Calibri"/>
          <w:lang w:eastAsia="en-US"/>
        </w:rPr>
        <w:t>gdy</w:t>
      </w:r>
      <w:r w:rsidRPr="00BD49EE">
        <w:rPr>
          <w:rFonts w:eastAsia="Calibri"/>
          <w:lang w:eastAsia="en-US"/>
        </w:rPr>
        <w:t xml:space="preserve"> zosta</w:t>
      </w:r>
      <w:r w:rsidR="006B7722">
        <w:rPr>
          <w:rFonts w:eastAsia="Calibri"/>
          <w:lang w:eastAsia="en-US"/>
        </w:rPr>
        <w:t>ło</w:t>
      </w:r>
      <w:r w:rsidRPr="00BD49EE">
        <w:rPr>
          <w:rFonts w:eastAsia="Calibri"/>
          <w:lang w:eastAsia="en-US"/>
        </w:rPr>
        <w:t xml:space="preserve"> uprawdopodobnione, że w drodze układu wierzyciele zostaną zaspokojeni w większym stopniu niż na skutek przeprowadzenia postępowania upadłościowego obejmującego likwidację majątku dłużnika (przesłanka pozytywna). Podkreślić należy, że przesłanką tą </w:t>
      </w:r>
      <w:r w:rsidR="006B7722">
        <w:rPr>
          <w:rFonts w:eastAsia="Calibri"/>
          <w:lang w:eastAsia="en-US"/>
        </w:rPr>
        <w:t>był</w:t>
      </w:r>
      <w:r w:rsidRPr="00BD49EE">
        <w:rPr>
          <w:rFonts w:eastAsia="Calibri"/>
          <w:lang w:eastAsia="en-US"/>
        </w:rPr>
        <w:t xml:space="preserve"> zawsze większy stopień zaspokojenia wierzycieli a nie zachowanie przedsiębiorstwa dłużnika. </w:t>
      </w:r>
      <w:r w:rsidR="006B7722">
        <w:rPr>
          <w:rFonts w:eastAsia="Calibri"/>
          <w:lang w:eastAsia="en-US"/>
        </w:rPr>
        <w:t xml:space="preserve">Jednak nawet w razie zaistnienia powyższej przesłanki pozytywnej </w:t>
      </w:r>
      <w:r w:rsidRPr="00BD49EE">
        <w:rPr>
          <w:rFonts w:eastAsia="Calibri"/>
          <w:lang w:eastAsia="en-US"/>
        </w:rPr>
        <w:t>nie ogłasza</w:t>
      </w:r>
      <w:r w:rsidR="006B7722">
        <w:rPr>
          <w:rFonts w:eastAsia="Calibri"/>
          <w:lang w:eastAsia="en-US"/>
        </w:rPr>
        <w:t>no</w:t>
      </w:r>
      <w:r w:rsidRPr="00BD49EE">
        <w:rPr>
          <w:rFonts w:eastAsia="Calibri"/>
          <w:lang w:eastAsia="en-US"/>
        </w:rPr>
        <w:t xml:space="preserve"> upadłości z możliwością zawarcia układu, gdy z uwagi na dotychczasowe zachowanie się dłużnika nie</w:t>
      </w:r>
      <w:r w:rsidR="006B7722">
        <w:rPr>
          <w:rFonts w:eastAsia="Calibri"/>
          <w:lang w:eastAsia="en-US"/>
        </w:rPr>
        <w:t xml:space="preserve"> było</w:t>
      </w:r>
      <w:r w:rsidRPr="00BD49EE">
        <w:rPr>
          <w:rFonts w:eastAsia="Calibri"/>
          <w:lang w:eastAsia="en-US"/>
        </w:rPr>
        <w:t xml:space="preserve"> pewności, że układ zostanie wykonany (np. dłużnik ukrywał swój majątek, w przeszłości był już objęty układem i nie wykonywał go właściwie itp.), chyba że propozycje układowe przewid</w:t>
      </w:r>
      <w:r w:rsidR="006B7722">
        <w:rPr>
          <w:rFonts w:eastAsia="Calibri"/>
          <w:lang w:eastAsia="en-US"/>
        </w:rPr>
        <w:t>ywały</w:t>
      </w:r>
      <w:r w:rsidRPr="00BD49EE">
        <w:rPr>
          <w:rFonts w:eastAsia="Calibri"/>
          <w:lang w:eastAsia="en-US"/>
        </w:rPr>
        <w:t xml:space="preserve"> układ likwidacyjny (przesłanka negatywna).</w:t>
      </w:r>
    </w:p>
    <w:p w14:paraId="062040D2" w14:textId="395989C4" w:rsidR="00F573E1" w:rsidRPr="00BD49EE" w:rsidRDefault="00F573E1" w:rsidP="009C0155">
      <w:pPr>
        <w:spacing w:line="360" w:lineRule="auto"/>
        <w:jc w:val="both"/>
        <w:rPr>
          <w:rFonts w:eastAsia="Calibri"/>
          <w:lang w:eastAsia="en-US"/>
        </w:rPr>
      </w:pPr>
      <w:r w:rsidRPr="00BD49EE">
        <w:rPr>
          <w:rFonts w:eastAsia="Calibri"/>
          <w:lang w:eastAsia="en-US"/>
        </w:rPr>
        <w:tab/>
        <w:t xml:space="preserve"> </w:t>
      </w:r>
      <w:r w:rsidR="00EE4886">
        <w:rPr>
          <w:rFonts w:eastAsia="Calibri"/>
          <w:lang w:eastAsia="en-US"/>
        </w:rPr>
        <w:t xml:space="preserve"> </w:t>
      </w:r>
      <w:r w:rsidRPr="00BD49EE">
        <w:rPr>
          <w:rFonts w:eastAsia="Calibri"/>
          <w:lang w:eastAsia="en-US"/>
        </w:rPr>
        <w:t>Upadłość obejmującą likwidację majątku upadłego ogłaszana</w:t>
      </w:r>
      <w:r w:rsidR="002F1251">
        <w:rPr>
          <w:rFonts w:eastAsia="Calibri"/>
          <w:lang w:eastAsia="en-US"/>
        </w:rPr>
        <w:t xml:space="preserve"> była, w myśl ówczesnego brzmienia</w:t>
      </w:r>
      <w:r w:rsidRPr="00BD49EE">
        <w:rPr>
          <w:rFonts w:eastAsia="Calibri"/>
          <w:lang w:eastAsia="en-US"/>
        </w:rPr>
        <w:t xml:space="preserve"> </w:t>
      </w:r>
      <w:r w:rsidR="002F1251" w:rsidRPr="00BD49EE">
        <w:rPr>
          <w:rFonts w:eastAsia="Calibri"/>
          <w:lang w:eastAsia="en-US"/>
        </w:rPr>
        <w:t>art. 15 PUN</w:t>
      </w:r>
      <w:r w:rsidR="002B3324">
        <w:rPr>
          <w:rFonts w:eastAsia="Calibri"/>
          <w:lang w:eastAsia="en-US"/>
        </w:rPr>
        <w:t>,</w:t>
      </w:r>
      <w:r w:rsidR="002F1251" w:rsidRPr="00BD49EE">
        <w:rPr>
          <w:rFonts w:eastAsia="Calibri"/>
          <w:lang w:eastAsia="en-US"/>
        </w:rPr>
        <w:t xml:space="preserve"> </w:t>
      </w:r>
      <w:r w:rsidRPr="00BD49EE">
        <w:rPr>
          <w:rFonts w:eastAsia="Calibri"/>
          <w:lang w:eastAsia="en-US"/>
        </w:rPr>
        <w:t xml:space="preserve">gdy brak </w:t>
      </w:r>
      <w:r w:rsidR="002F1251">
        <w:rPr>
          <w:rFonts w:eastAsia="Calibri"/>
          <w:lang w:eastAsia="en-US"/>
        </w:rPr>
        <w:t>było</w:t>
      </w:r>
      <w:r w:rsidRPr="00BD49EE">
        <w:rPr>
          <w:rFonts w:eastAsia="Calibri"/>
          <w:lang w:eastAsia="en-US"/>
        </w:rPr>
        <w:t xml:space="preserve"> podstaw do ogłoszenia upadłości z możliwością zawarcia układu. </w:t>
      </w:r>
      <w:r w:rsidR="002F1251">
        <w:rPr>
          <w:rFonts w:eastAsia="Calibri"/>
          <w:lang w:eastAsia="en-US"/>
        </w:rPr>
        <w:t xml:space="preserve">Pomimo poglądów części przedstawicieli doktryny uznających że </w:t>
      </w:r>
      <w:r w:rsidRPr="00BD49EE">
        <w:rPr>
          <w:rFonts w:eastAsia="Calibri"/>
          <w:lang w:eastAsia="en-US"/>
        </w:rPr>
        <w:t>ustawodawca prefer</w:t>
      </w:r>
      <w:r w:rsidR="002F1251">
        <w:rPr>
          <w:rFonts w:eastAsia="Calibri"/>
          <w:lang w:eastAsia="en-US"/>
        </w:rPr>
        <w:t>ował</w:t>
      </w:r>
      <w:r w:rsidRPr="00BD49EE">
        <w:rPr>
          <w:rFonts w:eastAsia="Calibri"/>
          <w:lang w:eastAsia="en-US"/>
        </w:rPr>
        <w:t xml:space="preserve"> postępowanie upadłościowe z możliwością zawarcia układu</w:t>
      </w:r>
      <w:r w:rsidR="002F1251">
        <w:rPr>
          <w:rFonts w:eastAsia="Calibri"/>
          <w:lang w:eastAsia="en-US"/>
        </w:rPr>
        <w:t xml:space="preserve">, </w:t>
      </w:r>
      <w:r w:rsidR="002D5438">
        <w:rPr>
          <w:rFonts w:eastAsia="Calibri"/>
          <w:lang w:eastAsia="en-US"/>
        </w:rPr>
        <w:lastRenderedPageBreak/>
        <w:t>można było</w:t>
      </w:r>
      <w:r w:rsidR="002F1251">
        <w:rPr>
          <w:rFonts w:eastAsia="Calibri"/>
          <w:lang w:eastAsia="en-US"/>
        </w:rPr>
        <w:t xml:space="preserve"> raczej</w:t>
      </w:r>
      <w:r w:rsidRPr="00BD49EE">
        <w:rPr>
          <w:rFonts w:eastAsia="Calibri"/>
          <w:lang w:eastAsia="en-US"/>
        </w:rPr>
        <w:t xml:space="preserve"> sformułować zasadę domniemania postępowania upadłościowego obejmującego likwidację majątku upadłego, gdyż w razie niewykazania przez podmiot wnoszący o ogłoszenie upadłości dłużnika spełnienia się przesłanek z art. 14 PUN, uzasadniających ogłoszenie upadłości z możliwością zawarcia układu, następ</w:t>
      </w:r>
      <w:r w:rsidR="002D5438">
        <w:rPr>
          <w:rFonts w:eastAsia="Calibri"/>
          <w:lang w:eastAsia="en-US"/>
        </w:rPr>
        <w:t>owało</w:t>
      </w:r>
      <w:r w:rsidRPr="00BD49EE">
        <w:rPr>
          <w:rFonts w:eastAsia="Calibri"/>
          <w:lang w:eastAsia="en-US"/>
        </w:rPr>
        <w:t xml:space="preserve"> ogłoszenie upadłości obejmującej likwidację majątku upadłego. </w:t>
      </w:r>
    </w:p>
    <w:p w14:paraId="6F493F83" w14:textId="6197894F" w:rsidR="00F573E1" w:rsidRDefault="00F573E1" w:rsidP="009C0155">
      <w:pPr>
        <w:spacing w:line="360" w:lineRule="auto"/>
        <w:jc w:val="both"/>
        <w:rPr>
          <w:rFonts w:eastAsia="Calibri"/>
          <w:lang w:eastAsia="en-US"/>
        </w:rPr>
      </w:pPr>
      <w:r w:rsidRPr="00BD49EE">
        <w:rPr>
          <w:rFonts w:eastAsia="Calibri"/>
          <w:lang w:eastAsia="en-US"/>
        </w:rPr>
        <w:tab/>
        <w:t xml:space="preserve"> Gdy wniosek o ogłoszenie upadłości składa sam dłużnik, powinien on, zgodnie z art. 23 ust. 1 PUN, określić w treści wniosku, czy wnosi o ogłoszenie upadłości z możliwością zawarcia układu czy też upadłości obejmującej likwidację majątku upadłego. Złożenie przez dłużnika wniosku bez wskazania lub uprawdopodobnienia chęci otwarcia postępowania upadłościowego z możliwością zawarcia układu nie skutk</w:t>
      </w:r>
      <w:r w:rsidR="002B3324">
        <w:rPr>
          <w:rFonts w:eastAsia="Calibri"/>
          <w:lang w:eastAsia="en-US"/>
        </w:rPr>
        <w:t>owało</w:t>
      </w:r>
      <w:r w:rsidRPr="00BD49EE">
        <w:rPr>
          <w:rFonts w:eastAsia="Calibri"/>
          <w:lang w:eastAsia="en-US"/>
        </w:rPr>
        <w:t xml:space="preserve"> jednak oddaleniem takiego wniosku, lecz domniemaniem, że wnosi on o upadłość obejmującą likwidację majątku. </w:t>
      </w:r>
      <w:r w:rsidR="002D5438" w:rsidRPr="00BD49EE">
        <w:rPr>
          <w:rFonts w:eastAsia="Calibri"/>
          <w:lang w:eastAsia="en-US"/>
        </w:rPr>
        <w:t>O rodzaju postępowania upadłościowego decyd</w:t>
      </w:r>
      <w:r w:rsidR="002D5438">
        <w:rPr>
          <w:rFonts w:eastAsia="Calibri"/>
          <w:lang w:eastAsia="en-US"/>
        </w:rPr>
        <w:t>ował</w:t>
      </w:r>
      <w:r w:rsidR="002D5438" w:rsidRPr="00BD49EE">
        <w:rPr>
          <w:rFonts w:eastAsia="Calibri"/>
          <w:lang w:eastAsia="en-US"/>
        </w:rPr>
        <w:t xml:space="preserve"> sąd upadłościowy, który nie </w:t>
      </w:r>
      <w:r w:rsidR="002D5438">
        <w:rPr>
          <w:rFonts w:eastAsia="Calibri"/>
          <w:lang w:eastAsia="en-US"/>
        </w:rPr>
        <w:t>był</w:t>
      </w:r>
      <w:r w:rsidR="002D5438" w:rsidRPr="00BD49EE">
        <w:rPr>
          <w:rFonts w:eastAsia="Calibri"/>
          <w:lang w:eastAsia="en-US"/>
        </w:rPr>
        <w:t xml:space="preserve"> przy tym związany treścią wniosku o ogłoszenie upadłości, a o wybranym sposobie postępowania upadłościowego powinien zawsze przesądzać interes wierzycieli upadłego. </w:t>
      </w:r>
      <w:r w:rsidRPr="00BD49EE">
        <w:rPr>
          <w:rFonts w:eastAsia="Calibri"/>
          <w:lang w:eastAsia="en-US"/>
        </w:rPr>
        <w:t>Ponadto, z mocy art. 16 i 17 PUN, już w toku postępowania sąd upadłościowy m</w:t>
      </w:r>
      <w:r w:rsidR="002D5438">
        <w:rPr>
          <w:rFonts w:eastAsia="Calibri"/>
          <w:lang w:eastAsia="en-US"/>
        </w:rPr>
        <w:t>ógł</w:t>
      </w:r>
      <w:r w:rsidRPr="00BD49EE">
        <w:rPr>
          <w:rFonts w:eastAsia="Calibri"/>
          <w:lang w:eastAsia="en-US"/>
        </w:rPr>
        <w:t xml:space="preserve"> zmienić postanowienie o ogłoszeniu upadłości obejmującej likwidację majątku upadłego na postanowienie o ogłoszeniu upadłości z możliwością zawarcia układu, jak również postanowienie o ogłoszeniu upadłości z możliwością zawarcia układu na postanowienie o ogłoszeniu upadłości obejmującej likwidację majątku upadłego, jeżeli podstawy do prowadzenia danego rodzaju postępowania ujawni</w:t>
      </w:r>
      <w:r w:rsidR="002D5438">
        <w:rPr>
          <w:rFonts w:eastAsia="Calibri"/>
          <w:lang w:eastAsia="en-US"/>
        </w:rPr>
        <w:t>ły</w:t>
      </w:r>
      <w:r w:rsidRPr="00BD49EE">
        <w:rPr>
          <w:rFonts w:eastAsia="Calibri"/>
          <w:lang w:eastAsia="en-US"/>
        </w:rPr>
        <w:t xml:space="preserve"> się dopiero w toku postępowania upadłościowego.</w:t>
      </w:r>
    </w:p>
    <w:p w14:paraId="3DDC463D" w14:textId="72B16DDE" w:rsidR="00921B0E" w:rsidRPr="00BD49EE" w:rsidRDefault="005F2C54" w:rsidP="009C0155">
      <w:pPr>
        <w:spacing w:line="360" w:lineRule="auto"/>
        <w:jc w:val="both"/>
        <w:rPr>
          <w:rFonts w:eastAsia="Calibri"/>
          <w:lang w:eastAsia="en-US"/>
        </w:rPr>
      </w:pPr>
      <w:r>
        <w:rPr>
          <w:rFonts w:eastAsia="Calibri"/>
          <w:lang w:eastAsia="en-US"/>
        </w:rPr>
        <w:tab/>
        <w:t>Podstawową funkcją postępowania upadłościowego,</w:t>
      </w:r>
      <w:r w:rsidRPr="005F2C54">
        <w:rPr>
          <w:rFonts w:eastAsia="Calibri"/>
          <w:lang w:eastAsia="en-US"/>
        </w:rPr>
        <w:t xml:space="preserve"> </w:t>
      </w:r>
      <w:r w:rsidRPr="00BD49EE">
        <w:rPr>
          <w:rFonts w:eastAsia="Calibri"/>
          <w:lang w:eastAsia="en-US"/>
        </w:rPr>
        <w:t>zarówno w przypadku postępowania upadłościowego prowadzonego z możliwością zawarcia układu jak i postępowania obejmującego likwidację majątku upadłego</w:t>
      </w:r>
      <w:r>
        <w:rPr>
          <w:rFonts w:eastAsia="Calibri"/>
          <w:lang w:eastAsia="en-US"/>
        </w:rPr>
        <w:t xml:space="preserve"> była f</w:t>
      </w:r>
      <w:r w:rsidR="00921B0E" w:rsidRPr="00BD49EE">
        <w:rPr>
          <w:rFonts w:eastAsia="Calibri"/>
          <w:lang w:eastAsia="en-US"/>
        </w:rPr>
        <w:t>unkcja windykacyjna realizowana poprzez dążenie do zaspokojenia wierzycieli niewypłacalnego dłużnika</w:t>
      </w:r>
      <w:r w:rsidR="00133DF4">
        <w:rPr>
          <w:rFonts w:eastAsia="Calibri"/>
          <w:lang w:eastAsia="en-US"/>
        </w:rPr>
        <w:t>.</w:t>
      </w:r>
      <w:r>
        <w:rPr>
          <w:rFonts w:eastAsia="Calibri"/>
          <w:lang w:eastAsia="en-US"/>
        </w:rPr>
        <w:t xml:space="preserve"> Postępowania uregulowane ustawą należało prowadzić tak, aby zaspokoić w jak największym stopniu wierzycieli upadłego, a gdy pozwolą na to racjonalne względy przedsiębiorstwo dłużnika zostało zachowane – gdy nie kolidowało to z funkcją windykacyjną.</w:t>
      </w:r>
    </w:p>
    <w:p w14:paraId="16A459E0" w14:textId="025709F1" w:rsidR="00921B0E" w:rsidRPr="00BD49EE" w:rsidRDefault="00921B0E" w:rsidP="005F2C54">
      <w:pPr>
        <w:spacing w:line="360" w:lineRule="auto"/>
        <w:ind w:firstLine="708"/>
        <w:jc w:val="both"/>
        <w:rPr>
          <w:rFonts w:eastAsia="Calibri"/>
          <w:lang w:eastAsia="en-US"/>
        </w:rPr>
      </w:pPr>
      <w:r w:rsidRPr="00BD49EE">
        <w:rPr>
          <w:rFonts w:eastAsia="Calibri"/>
          <w:lang w:eastAsia="en-US"/>
        </w:rPr>
        <w:t>Funkcję oddłużeniową, umożliwiającą redukcję zobowiązań upadłego, w zamyśle twórców ustawy prawo upadłościowe i naprawcze pełni</w:t>
      </w:r>
      <w:r w:rsidR="005F2C54">
        <w:rPr>
          <w:rFonts w:eastAsia="Calibri"/>
          <w:lang w:eastAsia="en-US"/>
        </w:rPr>
        <w:t>ło zatem</w:t>
      </w:r>
      <w:r w:rsidRPr="00BD49EE">
        <w:rPr>
          <w:rFonts w:eastAsia="Calibri"/>
          <w:lang w:eastAsia="en-US"/>
        </w:rPr>
        <w:t xml:space="preserve"> jedynie</w:t>
      </w:r>
      <w:r w:rsidR="005F2C54">
        <w:rPr>
          <w:rFonts w:eastAsia="Calibri"/>
          <w:lang w:eastAsia="en-US"/>
        </w:rPr>
        <w:t xml:space="preserve"> </w:t>
      </w:r>
      <w:r w:rsidRPr="00BD49EE">
        <w:rPr>
          <w:rFonts w:eastAsia="Calibri"/>
          <w:lang w:eastAsia="en-US"/>
        </w:rPr>
        <w:t>w ograniczonym stopniu. Ogranicza</w:t>
      </w:r>
      <w:r w:rsidR="005F2C54">
        <w:rPr>
          <w:rFonts w:eastAsia="Calibri"/>
          <w:lang w:eastAsia="en-US"/>
        </w:rPr>
        <w:t>ła</w:t>
      </w:r>
      <w:r w:rsidRPr="00BD49EE">
        <w:rPr>
          <w:rFonts w:eastAsia="Calibri"/>
          <w:lang w:eastAsia="en-US"/>
        </w:rPr>
        <w:t xml:space="preserve"> się ona głównie do postępowania naprawczego i postępowania upadłościowego prowadzonego z możliwością zawarcia układu</w:t>
      </w:r>
      <w:r w:rsidR="005F2C54">
        <w:rPr>
          <w:rFonts w:eastAsia="Calibri"/>
          <w:lang w:eastAsia="en-US"/>
        </w:rPr>
        <w:t>. W literaturze w</w:t>
      </w:r>
      <w:r w:rsidRPr="00BD49EE">
        <w:rPr>
          <w:rFonts w:eastAsia="Calibri"/>
          <w:lang w:eastAsia="en-US"/>
        </w:rPr>
        <w:t xml:space="preserve">yodrębniana niekiedy </w:t>
      </w:r>
      <w:r w:rsidR="005F2C54">
        <w:rPr>
          <w:rFonts w:eastAsia="Calibri"/>
          <w:lang w:eastAsia="en-US"/>
        </w:rPr>
        <w:t>także</w:t>
      </w:r>
      <w:r w:rsidRPr="00BD49EE">
        <w:rPr>
          <w:rFonts w:eastAsia="Calibri"/>
          <w:lang w:eastAsia="en-US"/>
        </w:rPr>
        <w:t xml:space="preserve"> funkcj</w:t>
      </w:r>
      <w:r w:rsidR="005F2C54">
        <w:rPr>
          <w:rFonts w:eastAsia="Calibri"/>
          <w:lang w:eastAsia="en-US"/>
        </w:rPr>
        <w:t>ę</w:t>
      </w:r>
      <w:r w:rsidRPr="00BD49EE">
        <w:rPr>
          <w:rFonts w:eastAsia="Calibri"/>
          <w:lang w:eastAsia="en-US"/>
        </w:rPr>
        <w:t xml:space="preserve"> sanacyjn</w:t>
      </w:r>
      <w:r w:rsidR="005F2C54">
        <w:rPr>
          <w:rFonts w:eastAsia="Calibri"/>
          <w:lang w:eastAsia="en-US"/>
        </w:rPr>
        <w:t>ą, która</w:t>
      </w:r>
      <w:r w:rsidRPr="00BD49EE">
        <w:rPr>
          <w:rFonts w:eastAsia="Calibri"/>
          <w:lang w:eastAsia="en-US"/>
        </w:rPr>
        <w:t xml:space="preserve"> miałaby umożliwiać naprawę przedsiębiorstwa dłużnika zagrożonego niewypłacalnością, ewentualnie przedsiębiorstwa już niewypłacalnego przedsiębiorcy poprzez zawarcie układu restrukturyzacyjnego. Realizowana </w:t>
      </w:r>
      <w:r w:rsidR="002234F9">
        <w:rPr>
          <w:rFonts w:eastAsia="Calibri"/>
          <w:lang w:eastAsia="en-US"/>
        </w:rPr>
        <w:t>była</w:t>
      </w:r>
      <w:r w:rsidRPr="00BD49EE">
        <w:rPr>
          <w:rFonts w:eastAsia="Calibri"/>
          <w:lang w:eastAsia="en-US"/>
        </w:rPr>
        <w:t xml:space="preserve"> ona jednak </w:t>
      </w:r>
      <w:r w:rsidRPr="00BD49EE">
        <w:rPr>
          <w:rFonts w:eastAsia="Calibri"/>
          <w:lang w:eastAsia="en-US"/>
        </w:rPr>
        <w:lastRenderedPageBreak/>
        <w:t>głównie w postępowaniu naprawczym. Sanacja przedsiębiorstwa upadłego mo</w:t>
      </w:r>
      <w:r w:rsidR="002234F9">
        <w:rPr>
          <w:rFonts w:eastAsia="Calibri"/>
          <w:lang w:eastAsia="en-US"/>
        </w:rPr>
        <w:t>gła</w:t>
      </w:r>
      <w:r w:rsidRPr="00BD49EE">
        <w:rPr>
          <w:rFonts w:eastAsia="Calibri"/>
          <w:lang w:eastAsia="en-US"/>
        </w:rPr>
        <w:t xml:space="preserve"> być również celem dodatkowym w postępowaniu upadłościowym z możliwością zawarcia układu. W przypadku postępowania upadłościowego obejmującego likwidację majątku upadłego funkcja sanacyjna, podobnie jak oddłużeniowa, nie odgrywa</w:t>
      </w:r>
      <w:r w:rsidR="002234F9">
        <w:rPr>
          <w:rFonts w:eastAsia="Calibri"/>
          <w:lang w:eastAsia="en-US"/>
        </w:rPr>
        <w:t>ły</w:t>
      </w:r>
      <w:r w:rsidRPr="00BD49EE">
        <w:rPr>
          <w:rFonts w:eastAsia="Calibri"/>
          <w:lang w:eastAsia="en-US"/>
        </w:rPr>
        <w:t xml:space="preserve"> istotnej roli. Nie mo</w:t>
      </w:r>
      <w:r w:rsidR="002234F9">
        <w:rPr>
          <w:rFonts w:eastAsia="Calibri"/>
          <w:lang w:eastAsia="en-US"/>
        </w:rPr>
        <w:t>gły</w:t>
      </w:r>
      <w:r w:rsidRPr="00BD49EE">
        <w:rPr>
          <w:rFonts w:eastAsia="Calibri"/>
          <w:lang w:eastAsia="en-US"/>
        </w:rPr>
        <w:t xml:space="preserve"> również uzasadniać odstąpienia od głównego celu postępowania upadłościowego, czyli zaspokojenia wierzycieli upadłego – a zatem realizacja funkcji windykacyjnej</w:t>
      </w:r>
      <w:r w:rsidR="002234F9">
        <w:rPr>
          <w:rFonts w:eastAsia="Calibri"/>
          <w:lang w:eastAsia="en-US"/>
        </w:rPr>
        <w:t>.</w:t>
      </w:r>
    </w:p>
    <w:p w14:paraId="354A14CE" w14:textId="02198602" w:rsidR="00BD49EE" w:rsidRDefault="00BD49EE" w:rsidP="009C0155">
      <w:pPr>
        <w:spacing w:line="360" w:lineRule="auto"/>
        <w:jc w:val="both"/>
        <w:rPr>
          <w:rFonts w:eastAsia="Calibri"/>
          <w:lang w:eastAsia="en-US"/>
        </w:rPr>
      </w:pPr>
    </w:p>
    <w:p w14:paraId="2836A896" w14:textId="3CC30DA1" w:rsidR="002234F9" w:rsidRPr="002234F9" w:rsidRDefault="002234F9" w:rsidP="002234F9">
      <w:pPr>
        <w:pStyle w:val="Akapitzlist"/>
        <w:numPr>
          <w:ilvl w:val="1"/>
          <w:numId w:val="10"/>
        </w:numPr>
        <w:spacing w:line="360" w:lineRule="auto"/>
        <w:ind w:left="567" w:hanging="567"/>
        <w:rPr>
          <w:b/>
          <w:bCs/>
        </w:rPr>
      </w:pPr>
      <w:r w:rsidRPr="002234F9">
        <w:rPr>
          <w:b/>
          <w:bCs/>
        </w:rPr>
        <w:t xml:space="preserve">Krytyczna weryfikacja rozwiązań stosowanych w PUN – droga do Prawa restrukturyzacyjnego </w:t>
      </w:r>
    </w:p>
    <w:p w14:paraId="7D357A24" w14:textId="0EB1347C" w:rsidR="00BD49EE" w:rsidRDefault="00BD49EE" w:rsidP="009C0155">
      <w:pPr>
        <w:spacing w:line="360" w:lineRule="auto"/>
        <w:jc w:val="both"/>
        <w:rPr>
          <w:rFonts w:eastAsia="Calibri"/>
          <w:lang w:eastAsia="en-US"/>
        </w:rPr>
      </w:pPr>
    </w:p>
    <w:p w14:paraId="71C6F08C" w14:textId="7341FCAF" w:rsidR="002234F9" w:rsidRPr="00BD49EE" w:rsidRDefault="002234F9" w:rsidP="002234F9">
      <w:pPr>
        <w:spacing w:line="360" w:lineRule="auto"/>
        <w:ind w:firstLine="567"/>
        <w:jc w:val="both"/>
        <w:rPr>
          <w:rFonts w:eastAsia="Calibri"/>
          <w:lang w:eastAsia="en-US"/>
        </w:rPr>
      </w:pPr>
      <w:r>
        <w:rPr>
          <w:rFonts w:eastAsia="Calibri"/>
          <w:lang w:eastAsia="en-US"/>
        </w:rPr>
        <w:t>Tworząc ustawę Prawo upadłościowe i naprawcze zakładano, że upadłość likwidacyjna będzie swego  rodzaju ostatecznością – przeważać miała upadłość układowa, a postępowanie naprawcze być powszechnie wykorzystywanym narzędziem restrukturyzacji przedsiębiorców zagrożonych niewypłacalnością, umożliwiającym uniknięcie upadłości. W praktyce jednak postępowanie naprawcze odgrywało rolę marginalną, a spośród postępowań upadłościowych ok 70 – 80% kończyło się jako upadłość likwidacyjna. Było to sprzeczne ze świ</w:t>
      </w:r>
      <w:r w:rsidR="00FC1FF7">
        <w:rPr>
          <w:rFonts w:eastAsia="Calibri"/>
          <w:lang w:eastAsia="en-US"/>
        </w:rPr>
        <w:t>a</w:t>
      </w:r>
      <w:r>
        <w:rPr>
          <w:rFonts w:eastAsia="Calibri"/>
          <w:lang w:eastAsia="en-US"/>
        </w:rPr>
        <w:t xml:space="preserve">towymi tendencjami, wysuwającymi na pierwszy plan funkcję oddłużeniową i sanacyjną postępowań </w:t>
      </w:r>
      <w:proofErr w:type="spellStart"/>
      <w:r>
        <w:rPr>
          <w:rFonts w:eastAsia="Calibri"/>
          <w:lang w:eastAsia="en-US"/>
        </w:rPr>
        <w:t>insolwencyjną</w:t>
      </w:r>
      <w:proofErr w:type="spellEnd"/>
      <w:r>
        <w:rPr>
          <w:rFonts w:eastAsia="Calibri"/>
          <w:lang w:eastAsia="en-US"/>
        </w:rPr>
        <w:t xml:space="preserve"> i coraz częściej uwzględnianą przez ustawodawców polityką „drugiej szansy” dla niewypłacalnych przedsiębiorców. Zaowocowało to powrotem do koncepcji uregulowania w odrębnym akcie prawnym postępowań zmierzających do restrukturyzacji zobowiązań przedsiębiorcy poprzez zawarcie układu z wierzycielami</w:t>
      </w:r>
      <w:r w:rsidR="006C1AFA">
        <w:rPr>
          <w:rFonts w:eastAsia="Calibri"/>
          <w:lang w:eastAsia="en-US"/>
        </w:rPr>
        <w:t xml:space="preserve">, przy jednoczesnym znacznym rozszerzeniu zakresu postępowań restrukturyzacyjnych i ułatwieniom dla przedsiębiorców chcących w takim trybie dokonać restrukturyzacji takich zobowiązań. </w:t>
      </w:r>
    </w:p>
    <w:p w14:paraId="112FB6C4" w14:textId="5C1595B7" w:rsidR="00BD49EE" w:rsidRPr="00BD49EE" w:rsidRDefault="006C1AFA" w:rsidP="009C0155">
      <w:pPr>
        <w:tabs>
          <w:tab w:val="left" w:pos="709"/>
        </w:tabs>
        <w:spacing w:line="360" w:lineRule="auto"/>
        <w:ind w:right="15" w:firstLine="708"/>
        <w:jc w:val="both"/>
      </w:pPr>
      <w:r>
        <w:t>Jak wskazano w uzasadnieniu projektu ustawy Prawo restrukturyzacyjne: „d</w:t>
      </w:r>
      <w:r w:rsidR="00BD49EE" w:rsidRPr="00BD49EE">
        <w:t xml:space="preserve">ziesięcioletni okres stosowania ustawy z dnia 28 lutego 2003 r. </w:t>
      </w:r>
      <w:r w:rsidR="00BD49EE" w:rsidRPr="00BD49EE">
        <w:rPr>
          <w:rFonts w:eastAsia="Arial Unicode MS"/>
          <w:u w:color="000000"/>
        </w:rPr>
        <w:t xml:space="preserve">– </w:t>
      </w:r>
      <w:r w:rsidR="00BD49EE" w:rsidRPr="00BD49EE">
        <w:t>Prawo upadłościowe i naprawcze umożliwia krytyczną weryfikację realizacji stawianych jej celów w ewoluujących warunkach gospodarczych. Część rozwiązań wprowadzonych w 2003 r. i przejętych z obowiązujących wcześniej rozporządzeń z 1934 r. sprawdziła się w praktyce i zasługuje na zachowanie. Dotychczasowe doświadczenia pozwalają jednak na identyfikację wielu dysfunkcji i uzasadniają konieczność przeprowadzenia reformy.</w:t>
      </w:r>
    </w:p>
    <w:p w14:paraId="6E833E50" w14:textId="4587A841" w:rsidR="00BD49EE" w:rsidRPr="00BD49EE" w:rsidRDefault="00BD49EE" w:rsidP="009C0155">
      <w:pPr>
        <w:tabs>
          <w:tab w:val="left" w:pos="709"/>
        </w:tabs>
        <w:spacing w:line="360" w:lineRule="auto"/>
        <w:ind w:right="15" w:firstLine="708"/>
        <w:jc w:val="both"/>
      </w:pPr>
      <w:r w:rsidRPr="00BD49EE">
        <w:t xml:space="preserve">Polska sytuuje się na 37 miejscu w </w:t>
      </w:r>
      <w:proofErr w:type="spellStart"/>
      <w:r w:rsidRPr="00BD49EE">
        <w:t>subrankingu</w:t>
      </w:r>
      <w:proofErr w:type="spellEnd"/>
      <w:r w:rsidRPr="00BD49EE">
        <w:t xml:space="preserve"> Banku Światowego </w:t>
      </w:r>
      <w:proofErr w:type="spellStart"/>
      <w:r w:rsidRPr="00BD49EE">
        <w:rPr>
          <w:i/>
        </w:rPr>
        <w:t>Doing</w:t>
      </w:r>
      <w:proofErr w:type="spellEnd"/>
      <w:r w:rsidRPr="00BD49EE">
        <w:rPr>
          <w:i/>
        </w:rPr>
        <w:t xml:space="preserve"> Business</w:t>
      </w:r>
      <w:r w:rsidRPr="00BD49EE">
        <w:t xml:space="preserve"> obejmującym analizę postępowań upadłościowych. Wskazuje się w nim na stosunkowo długi czas postępowania, wysokie koszty i średnie zaspokojenie wierzycieli. </w:t>
      </w:r>
    </w:p>
    <w:p w14:paraId="3BFA7D59" w14:textId="028A3D2D" w:rsidR="00BD49EE" w:rsidRPr="00BD49EE" w:rsidRDefault="00BD49EE" w:rsidP="009C0155">
      <w:pPr>
        <w:pStyle w:val="Akapitzlist"/>
        <w:numPr>
          <w:ilvl w:val="0"/>
          <w:numId w:val="3"/>
        </w:numPr>
        <w:tabs>
          <w:tab w:val="left" w:pos="709"/>
        </w:tabs>
        <w:spacing w:line="360" w:lineRule="auto"/>
        <w:ind w:left="709" w:right="15" w:hanging="709"/>
        <w:contextualSpacing w:val="0"/>
        <w:rPr>
          <w:szCs w:val="24"/>
        </w:rPr>
      </w:pPr>
      <w:r w:rsidRPr="00BD49EE">
        <w:rPr>
          <w:szCs w:val="24"/>
        </w:rPr>
        <w:lastRenderedPageBreak/>
        <w:t>Analiza statystyk</w:t>
      </w:r>
      <w:r w:rsidRPr="00BD49EE">
        <w:rPr>
          <w:szCs w:val="24"/>
          <w:vertAlign w:val="superscript"/>
        </w:rPr>
        <w:t xml:space="preserve"> </w:t>
      </w:r>
      <w:r w:rsidRPr="00BD49EE">
        <w:rPr>
          <w:szCs w:val="24"/>
        </w:rPr>
        <w:t xml:space="preserve">pozwala na wskazanie, że w Polsce zwiększa się liczba wniosków o ogłoszenie upadłości, przy czym dominują postępowania obejmujące likwidację przedsiębiorstwa. Przeprowadzane badania aktowe wskazują na niezadawalające współczynniki zaspokojenia wierzycieli z masy upadłości oraz wysoki współczynnik oddalenia wniosków o ogłoszenie upadłości z uwagi na ubóstwo masy. Pierwsza z wymienionych okoliczności prowadzi do tzw. efektu domina, związanego z popadaniem w niewypłacalność przez kolejnych, niezaspokajanych wierzycieli upadłego. </w:t>
      </w:r>
    </w:p>
    <w:p w14:paraId="13A78398" w14:textId="0C59A624" w:rsidR="00BD49EE" w:rsidRPr="00BD49EE" w:rsidRDefault="00BD49EE" w:rsidP="009C0155">
      <w:pPr>
        <w:pStyle w:val="Akapitzlist"/>
        <w:numPr>
          <w:ilvl w:val="0"/>
          <w:numId w:val="3"/>
        </w:numPr>
        <w:tabs>
          <w:tab w:val="left" w:pos="709"/>
        </w:tabs>
        <w:spacing w:line="360" w:lineRule="auto"/>
        <w:ind w:left="709" w:right="15" w:hanging="709"/>
        <w:contextualSpacing w:val="0"/>
        <w:rPr>
          <w:szCs w:val="24"/>
        </w:rPr>
      </w:pPr>
      <w:r w:rsidRPr="00BD49EE">
        <w:rPr>
          <w:szCs w:val="24"/>
        </w:rPr>
        <w:t>Analiza światowych zjawisk gospodarczych, a także tendencji makroekonomicznych w Polsce, wskazuje na rosnącą liczbę podmiotów, które realnie lub potencjalnie są zainteresowane skuteczną restrukturyzacją z uwagi na zjawisko światowej recesji. Znajomość instytucji Prawa upadłościowego i naprawczego wśród podmiotów gospodarczych i konsumentów w Polsce jest jednak zdecydowanie zbyt niska</w:t>
      </w:r>
      <w:r w:rsidRPr="00BD49EE">
        <w:rPr>
          <w:szCs w:val="24"/>
          <w:vertAlign w:val="superscript"/>
        </w:rPr>
        <w:t>)</w:t>
      </w:r>
      <w:r w:rsidRPr="00BD49EE">
        <w:rPr>
          <w:szCs w:val="24"/>
          <w:lang w:eastAsia="pl-PL"/>
        </w:rPr>
        <w:t>.</w:t>
      </w:r>
      <w:r w:rsidRPr="00BD49EE">
        <w:rPr>
          <w:szCs w:val="24"/>
        </w:rPr>
        <w:t xml:space="preserve"> </w:t>
      </w:r>
    </w:p>
    <w:p w14:paraId="1E2DB395" w14:textId="66476ECC" w:rsidR="00BD49EE" w:rsidRPr="00BD49EE" w:rsidRDefault="00BD49EE" w:rsidP="006C1AFA">
      <w:pPr>
        <w:spacing w:line="360" w:lineRule="auto"/>
        <w:ind w:firstLine="360"/>
        <w:jc w:val="both"/>
      </w:pPr>
      <w:r w:rsidRPr="00BD49EE">
        <w:t>Porównanie statystyk upadłości w Polsce z innymi państwami członkowskimi UE wskazuje też wyraźnie, że postępowanie upadłościowe w Polsce jest wykorzystywane stosunkowo rzadko, a niewypłacalni przedsiębiorcy w większości przypadków usuwani są z obrotu w drodze nieformalnej likwidacji. Stan ten jest niekorzystny dla wierzycieli oraz dla bezpieczeństwa obrotu, gdyż w takich przypadkach nie dochodzi do zastosowania chroniących ich mechanizmów prawa upadłościowego.</w:t>
      </w:r>
    </w:p>
    <w:p w14:paraId="006730B2" w14:textId="77777777" w:rsidR="00BD49EE" w:rsidRPr="00BD49EE" w:rsidRDefault="00BD49EE" w:rsidP="009C0155">
      <w:pPr>
        <w:pStyle w:val="Akapitzlist"/>
        <w:tabs>
          <w:tab w:val="left" w:pos="709"/>
        </w:tabs>
        <w:spacing w:line="360" w:lineRule="auto"/>
        <w:ind w:left="0" w:right="-13" w:firstLine="360"/>
        <w:contextualSpacing w:val="0"/>
        <w:rPr>
          <w:szCs w:val="24"/>
        </w:rPr>
      </w:pPr>
      <w:r w:rsidRPr="006C1AFA">
        <w:rPr>
          <w:b/>
          <w:bCs/>
          <w:szCs w:val="24"/>
        </w:rPr>
        <w:t xml:space="preserve">Głównym założeniem projektu jest wprowadzenie skutecznych instrumentów pozwalających na przeprowadzenie restrukturyzacji przedsiębiorstwa dłużnika i zapobieżenie jego </w:t>
      </w:r>
      <w:r w:rsidRPr="006C1AFA">
        <w:rPr>
          <w:b/>
          <w:bCs/>
          <w:szCs w:val="24"/>
          <w:lang w:eastAsia="pl-PL"/>
        </w:rPr>
        <w:t>likwidacji</w:t>
      </w:r>
      <w:r w:rsidRPr="00BD49EE">
        <w:rPr>
          <w:szCs w:val="24"/>
        </w:rPr>
        <w:t xml:space="preserve">. Zachowanie przedsiębiorstwa dłużnika w wielu przypadkach jest znacznie korzystniejsze dla wierzycieli niż jego likwidacja. Zachowanie przedsiębiorstwa dłużnika oznacza również zachowanie miejsc pracy oraz, co do zasady, możliwość nieprzerwanego realizowania kontraktów, a więc ma pozytywne znaczenie społeczne i gospodarcze. </w:t>
      </w:r>
    </w:p>
    <w:p w14:paraId="61363F59" w14:textId="05E92042" w:rsidR="00BD49EE" w:rsidRPr="00BD49EE" w:rsidRDefault="00BD49EE" w:rsidP="009C0155">
      <w:pPr>
        <w:spacing w:line="360" w:lineRule="auto"/>
        <w:jc w:val="both"/>
        <w:rPr>
          <w:rFonts w:eastAsia="Calibri"/>
          <w:lang w:eastAsia="en-US"/>
        </w:rPr>
      </w:pPr>
      <w:r w:rsidRPr="00BD49EE">
        <w:tab/>
        <w:t xml:space="preserve">W celu możliwości przeprowadzenia skutecznej restrukturyzacji przedsiębiorstwa istotne znaczenie ma społeczny odbiór określonej regulacji prawnej i postępowania, w którym restrukturyzacja ma nastąpić. Praktyka pokazuje, że wielokrotnie sam fakt ogłoszenia upadłości dłużnika wyklucza wszelką możliwość skutecznej restrukturyzacji, niezależnie od tego, czy jest to upadłość z możliwością zawarcia układu czy likwidacyjna. Skojarzenia upadłości z końcem działalności, bankructwem i brakiem możliwości odzyskania swoich wierzytelności są tak silne, że w wielu przypadkach, po ogłoszeniu upadłości, wierzyciele nie chcą podejmować żadnych rozmów z dłużnikiem. Z tych względów projekt zakłada oddzielenie postępowań </w:t>
      </w:r>
      <w:r w:rsidRPr="00BD49EE">
        <w:lastRenderedPageBreak/>
        <w:t>restrukturyzacyjnych od stygmatyzujących postępowań upadłościowych. Dla jasnego i klarownego podziału zdecydowano się uregulować postępowania restrukturyzacyjne w osobnej ustawie – Prawo restrukturyzacyjne</w:t>
      </w:r>
      <w:r w:rsidR="00133DF4">
        <w:t>.”</w:t>
      </w:r>
    </w:p>
    <w:p w14:paraId="0341DA86" w14:textId="210E622A" w:rsidR="001C66D3" w:rsidRDefault="006C1AFA" w:rsidP="00640E7D">
      <w:pPr>
        <w:spacing w:line="360" w:lineRule="auto"/>
        <w:jc w:val="both"/>
        <w:rPr>
          <w:rFonts w:eastAsia="Calibri"/>
        </w:rPr>
      </w:pPr>
      <w:r>
        <w:rPr>
          <w:rFonts w:eastAsia="Calibri"/>
          <w:lang w:eastAsia="en-US"/>
        </w:rPr>
        <w:tab/>
        <w:t>W efekcie nastąpiło opracowanie projektu ustawy Prawo restrukturyzacyjne, uwzględniającej tendencje występujące w prawie innych państw (jak wskazano w uzasadnieniu projektu ustawy „</w:t>
      </w:r>
      <w:r w:rsidR="00640E7D" w:rsidRPr="00BD49EE">
        <w:t>Doświadczenia międzynarodowe wskazują, że poprawienie warunków skutecznej restrukturyzacji i szybkiej likwidacji przedsiębiorstw stanowi istotny element dla wzrostu i potencjału gospodarczego państwa</w:t>
      </w:r>
      <w:r w:rsidR="00640E7D">
        <w:t>”)</w:t>
      </w:r>
      <w:r>
        <w:rPr>
          <w:rFonts w:eastAsia="Calibri"/>
          <w:lang w:eastAsia="en-US"/>
        </w:rPr>
        <w:t xml:space="preserve">, stawiające jako główny cel skuteczną </w:t>
      </w:r>
      <w:r w:rsidRPr="00BD49EE">
        <w:t>restrukturyzacj</w:t>
      </w:r>
      <w:r>
        <w:t>ę</w:t>
      </w:r>
      <w:r w:rsidRPr="00BD49EE">
        <w:t xml:space="preserve"> przedsiębiorstwa dłużnika i zapobieżenie jego likwidacji.</w:t>
      </w:r>
      <w:r>
        <w:rPr>
          <w:rFonts w:eastAsia="Calibri"/>
          <w:lang w:eastAsia="en-US"/>
        </w:rPr>
        <w:t xml:space="preserve"> </w:t>
      </w:r>
      <w:r w:rsidR="00061558" w:rsidRPr="00BD49EE">
        <w:t xml:space="preserve">Projekt </w:t>
      </w:r>
      <w:r>
        <w:t xml:space="preserve">ustawy </w:t>
      </w:r>
      <w:r w:rsidR="00640E7D">
        <w:t xml:space="preserve">Prawo restrukturyzacyjne </w:t>
      </w:r>
      <w:r w:rsidR="00061558" w:rsidRPr="00BD49EE">
        <w:t>wpłynął do Sejmu</w:t>
      </w:r>
      <w:r>
        <w:t xml:space="preserve"> dni</w:t>
      </w:r>
      <w:r w:rsidR="00640E7D">
        <w:t>a</w:t>
      </w:r>
      <w:r w:rsidR="00061558" w:rsidRPr="00BD49EE">
        <w:t xml:space="preserve"> 9</w:t>
      </w:r>
      <w:r>
        <w:t xml:space="preserve"> października </w:t>
      </w:r>
      <w:r w:rsidR="00061558" w:rsidRPr="00BD49EE">
        <w:t xml:space="preserve">2014 r., </w:t>
      </w:r>
      <w:r>
        <w:t>pierwsze</w:t>
      </w:r>
      <w:r w:rsidR="00061558" w:rsidRPr="00BD49EE">
        <w:t xml:space="preserve"> czytanie</w:t>
      </w:r>
      <w:r>
        <w:t xml:space="preserve"> odbyło się</w:t>
      </w:r>
      <w:r w:rsidR="00061558" w:rsidRPr="00BD49EE">
        <w:t xml:space="preserve"> 5 listopada 2014 r., uchwalona </w:t>
      </w:r>
      <w:r>
        <w:t xml:space="preserve">została (po rozpatrzeniu stanowiska Senatu) dnia </w:t>
      </w:r>
      <w:r w:rsidR="00061558" w:rsidRPr="00BD49EE">
        <w:t>15</w:t>
      </w:r>
      <w:r>
        <w:t xml:space="preserve"> maja </w:t>
      </w:r>
      <w:r w:rsidR="00061558" w:rsidRPr="00BD49EE">
        <w:t>2015 r.</w:t>
      </w:r>
      <w:r>
        <w:t xml:space="preserve"> i po ponad półrocznym </w:t>
      </w:r>
      <w:r w:rsidRPr="00E81471">
        <w:rPr>
          <w:i/>
          <w:iCs/>
        </w:rPr>
        <w:t>vacatio legis</w:t>
      </w:r>
      <w:r>
        <w:t>, weszła w życie dnia 1 stycznia 2016 r.</w:t>
      </w:r>
      <w:r w:rsidR="00640E7D">
        <w:t xml:space="preserve"> Jej </w:t>
      </w:r>
      <w:r w:rsidR="00640E7D">
        <w:rPr>
          <w:rFonts w:eastAsia="Calibri"/>
        </w:rPr>
        <w:t>w</w:t>
      </w:r>
      <w:r w:rsidR="001C66D3" w:rsidRPr="00BD49EE">
        <w:rPr>
          <w:rFonts w:eastAsia="Calibri"/>
        </w:rPr>
        <w:t xml:space="preserve">ejście w życie spowodowało zasadniczą zmianę w konstrukcji układu w prawie polskim. Równocześnie mocą przepisów </w:t>
      </w:r>
      <w:proofErr w:type="spellStart"/>
      <w:r w:rsidR="001C66D3" w:rsidRPr="00BD49EE">
        <w:rPr>
          <w:rFonts w:eastAsia="Calibri"/>
        </w:rPr>
        <w:t>PrRestr</w:t>
      </w:r>
      <w:proofErr w:type="spellEnd"/>
      <w:r w:rsidR="001C66D3" w:rsidRPr="00BD49EE">
        <w:rPr>
          <w:rFonts w:eastAsia="Calibri"/>
        </w:rPr>
        <w:t xml:space="preserve"> dokonana została dogłębna i daleko idąca nowelizacja ustawy – Prawo upadłościowe i naprawcze, obejmująca zmianę jej nazwy na Prawo upadłościowe</w:t>
      </w:r>
      <w:r w:rsidR="00640E7D">
        <w:rPr>
          <w:rFonts w:eastAsia="Calibri"/>
        </w:rPr>
        <w:t>.</w:t>
      </w:r>
    </w:p>
    <w:p w14:paraId="58CBC566" w14:textId="1C60B099" w:rsidR="00640E7D" w:rsidRDefault="00640E7D" w:rsidP="00640E7D">
      <w:pPr>
        <w:spacing w:line="360" w:lineRule="auto"/>
        <w:jc w:val="both"/>
        <w:rPr>
          <w:rFonts w:eastAsia="Calibri"/>
        </w:rPr>
      </w:pPr>
    </w:p>
    <w:p w14:paraId="4463AF8E" w14:textId="2C32C372" w:rsidR="00640E7D" w:rsidRPr="00640E7D" w:rsidRDefault="00640E7D" w:rsidP="00640E7D">
      <w:pPr>
        <w:pStyle w:val="Akapitzlist"/>
        <w:numPr>
          <w:ilvl w:val="0"/>
          <w:numId w:val="10"/>
        </w:numPr>
        <w:spacing w:line="360" w:lineRule="auto"/>
        <w:rPr>
          <w:b/>
          <w:bCs/>
        </w:rPr>
      </w:pPr>
      <w:r w:rsidRPr="00640E7D">
        <w:rPr>
          <w:b/>
          <w:bCs/>
        </w:rPr>
        <w:t xml:space="preserve">Cele i funkcje </w:t>
      </w:r>
      <w:r w:rsidR="00980B69">
        <w:rPr>
          <w:b/>
          <w:bCs/>
        </w:rPr>
        <w:t>p</w:t>
      </w:r>
      <w:r w:rsidRPr="00640E7D">
        <w:rPr>
          <w:b/>
          <w:bCs/>
        </w:rPr>
        <w:t>rawa restrukturyzacyjnego</w:t>
      </w:r>
      <w:r>
        <w:rPr>
          <w:b/>
          <w:bCs/>
        </w:rPr>
        <w:t xml:space="preserve"> i postępowań uregulowanych w ustawie</w:t>
      </w:r>
    </w:p>
    <w:p w14:paraId="613CDE26" w14:textId="77234B6A" w:rsidR="00640E7D" w:rsidRDefault="00640E7D" w:rsidP="00640E7D">
      <w:pPr>
        <w:spacing w:line="360" w:lineRule="auto"/>
        <w:jc w:val="both"/>
        <w:rPr>
          <w:rFonts w:eastAsia="Calibri"/>
        </w:rPr>
      </w:pPr>
    </w:p>
    <w:p w14:paraId="3707C488" w14:textId="24D93753" w:rsidR="00640E7D" w:rsidRPr="00BD49EE" w:rsidRDefault="00640E7D" w:rsidP="00640E7D">
      <w:pPr>
        <w:widowControl w:val="0"/>
        <w:tabs>
          <w:tab w:val="left" w:pos="709"/>
        </w:tabs>
        <w:spacing w:line="360" w:lineRule="auto"/>
        <w:ind w:right="17" w:firstLine="709"/>
        <w:jc w:val="both"/>
      </w:pPr>
      <w:r>
        <w:rPr>
          <w:rFonts w:eastAsia="Calibri"/>
        </w:rPr>
        <w:t>Jak wskazano w uzasadnieniu projektu ustawy Prawo restrukturyzacyjne wprowadzona „</w:t>
      </w:r>
      <w:r w:rsidRPr="00BD49EE">
        <w:t xml:space="preserve">Reforma oparta jest na założeniu ochrony wartości ekonomicznej przedsiębiorstwa i poszanowaniu praw wierzycieli, co realizują następujące cele regulacji: </w:t>
      </w:r>
    </w:p>
    <w:p w14:paraId="400B649B" w14:textId="4AE30914" w:rsidR="00640E7D" w:rsidRPr="00BD49EE" w:rsidRDefault="00640E7D" w:rsidP="00640E7D">
      <w:pPr>
        <w:numPr>
          <w:ilvl w:val="0"/>
          <w:numId w:val="6"/>
        </w:numPr>
        <w:tabs>
          <w:tab w:val="left" w:pos="709"/>
        </w:tabs>
        <w:spacing w:line="360" w:lineRule="auto"/>
        <w:ind w:right="15"/>
        <w:jc w:val="both"/>
      </w:pPr>
      <w:r w:rsidRPr="00BD49EE">
        <w:t xml:space="preserve">zapewnienie przedsiębiorcom i ich kontrahentom skutecznych instrumentów do restrukturyzacji przy jednoczesnej maksymalizacji ochrony </w:t>
      </w:r>
      <w:r w:rsidR="009159BC">
        <w:t xml:space="preserve"> </w:t>
      </w:r>
      <w:r w:rsidRPr="00BD49EE">
        <w:t>praw wierzycieli,</w:t>
      </w:r>
    </w:p>
    <w:p w14:paraId="101F67ED" w14:textId="77777777" w:rsidR="00640E7D" w:rsidRPr="00BD49EE" w:rsidRDefault="00640E7D" w:rsidP="00640E7D">
      <w:pPr>
        <w:numPr>
          <w:ilvl w:val="0"/>
          <w:numId w:val="6"/>
        </w:numPr>
        <w:tabs>
          <w:tab w:val="left" w:pos="709"/>
        </w:tabs>
        <w:spacing w:line="360" w:lineRule="auto"/>
        <w:ind w:right="15"/>
        <w:jc w:val="both"/>
      </w:pPr>
      <w:r w:rsidRPr="00BD49EE">
        <w:t xml:space="preserve">zapewnienie instytucjonalnej autonomii postępowań restrukturyzacyjnych w oderwaniu od stygmatyzujących postępowań upadłościowych, </w:t>
      </w:r>
    </w:p>
    <w:p w14:paraId="1FE2ABDE" w14:textId="77777777" w:rsidR="00640E7D" w:rsidRPr="00BD49EE" w:rsidRDefault="00640E7D" w:rsidP="00640E7D">
      <w:pPr>
        <w:numPr>
          <w:ilvl w:val="0"/>
          <w:numId w:val="6"/>
        </w:numPr>
        <w:tabs>
          <w:tab w:val="left" w:pos="709"/>
        </w:tabs>
        <w:spacing w:line="360" w:lineRule="auto"/>
        <w:ind w:right="15"/>
        <w:jc w:val="both"/>
      </w:pPr>
      <w:r w:rsidRPr="00BD49EE">
        <w:t xml:space="preserve">wprowadzenie zasady subsydiarności postępowania upadłościowego jako </w:t>
      </w:r>
      <w:r w:rsidRPr="00BD49EE">
        <w:rPr>
          <w:i/>
        </w:rPr>
        <w:t>ultima ratio</w:t>
      </w:r>
      <w:r w:rsidRPr="00BD49EE">
        <w:t xml:space="preserve"> wobec ekonomicznego fiaska restrukturyzacji, </w:t>
      </w:r>
    </w:p>
    <w:p w14:paraId="55E82309" w14:textId="77777777" w:rsidR="00640E7D" w:rsidRPr="00BD49EE" w:rsidRDefault="00640E7D" w:rsidP="00640E7D">
      <w:pPr>
        <w:numPr>
          <w:ilvl w:val="0"/>
          <w:numId w:val="6"/>
        </w:numPr>
        <w:tabs>
          <w:tab w:val="left" w:pos="709"/>
        </w:tabs>
        <w:spacing w:line="360" w:lineRule="auto"/>
        <w:ind w:right="15"/>
        <w:jc w:val="both"/>
      </w:pPr>
      <w:r w:rsidRPr="00BD49EE">
        <w:t xml:space="preserve">zwiększenie uprawnień aktywnych wierzycieli, </w:t>
      </w:r>
    </w:p>
    <w:p w14:paraId="459503BC" w14:textId="77777777" w:rsidR="00640E7D" w:rsidRPr="00BD49EE" w:rsidRDefault="00640E7D" w:rsidP="00640E7D">
      <w:pPr>
        <w:numPr>
          <w:ilvl w:val="0"/>
          <w:numId w:val="6"/>
        </w:numPr>
        <w:tabs>
          <w:tab w:val="left" w:pos="709"/>
        </w:tabs>
        <w:spacing w:line="360" w:lineRule="auto"/>
        <w:ind w:right="15"/>
        <w:jc w:val="both"/>
      </w:pPr>
      <w:r w:rsidRPr="00BD49EE">
        <w:t>maksymalizacja szybkości i efektywności restrukturyzacji i upadłości,</w:t>
      </w:r>
    </w:p>
    <w:p w14:paraId="00BD199E" w14:textId="0225B889" w:rsidR="00640E7D" w:rsidRPr="00BD49EE" w:rsidRDefault="00640E7D" w:rsidP="00640E7D">
      <w:pPr>
        <w:numPr>
          <w:ilvl w:val="0"/>
          <w:numId w:val="6"/>
        </w:numPr>
        <w:tabs>
          <w:tab w:val="left" w:pos="709"/>
        </w:tabs>
        <w:spacing w:line="360" w:lineRule="auto"/>
        <w:ind w:right="15"/>
        <w:jc w:val="both"/>
      </w:pPr>
      <w:r w:rsidRPr="00BD49EE">
        <w:t>realizacja polityki „nowej szansy” – zapewnienie możliwości „nowego startu” przedsiębiorcom, których fiasko przedsięwzięcia gospodarczego wynika z niekorzystnej zmiany warunków ekonomicznych.</w:t>
      </w:r>
      <w:r>
        <w:t>”</w:t>
      </w:r>
    </w:p>
    <w:p w14:paraId="3E36A151" w14:textId="77777777" w:rsidR="00640E7D" w:rsidRPr="00640E7D" w:rsidRDefault="00640E7D" w:rsidP="00640E7D">
      <w:pPr>
        <w:spacing w:line="360" w:lineRule="auto"/>
        <w:jc w:val="both"/>
      </w:pPr>
    </w:p>
    <w:p w14:paraId="1068ECD2" w14:textId="75703476" w:rsidR="001C66D3" w:rsidRDefault="00640E7D" w:rsidP="009C0155">
      <w:pPr>
        <w:spacing w:line="360" w:lineRule="auto"/>
        <w:ind w:firstLine="708"/>
        <w:jc w:val="both"/>
        <w:rPr>
          <w:rFonts w:eastAsia="Calibri"/>
        </w:rPr>
      </w:pPr>
      <w:r>
        <w:rPr>
          <w:rFonts w:eastAsia="Calibri"/>
        </w:rPr>
        <w:lastRenderedPageBreak/>
        <w:t xml:space="preserve">Odnosząc się bezpośrednio do regulacji zawartych w przepisach ustawy należy przywołać przede wszystkim </w:t>
      </w:r>
      <w:r w:rsidR="001C66D3" w:rsidRPr="00BD49EE">
        <w:rPr>
          <w:rFonts w:eastAsia="Calibri"/>
        </w:rPr>
        <w:t xml:space="preserve">art. 3 ust. 1 </w:t>
      </w:r>
      <w:proofErr w:type="spellStart"/>
      <w:r w:rsidR="001C66D3" w:rsidRPr="00BD49EE">
        <w:rPr>
          <w:rFonts w:eastAsia="Calibri"/>
        </w:rPr>
        <w:t>PrRestr</w:t>
      </w:r>
      <w:proofErr w:type="spellEnd"/>
      <w:r w:rsidR="001C66D3" w:rsidRPr="00BD49EE">
        <w:rPr>
          <w:rFonts w:eastAsia="Calibri"/>
        </w:rPr>
        <w:t xml:space="preserve">, </w:t>
      </w:r>
      <w:r>
        <w:rPr>
          <w:rFonts w:eastAsia="Calibri"/>
        </w:rPr>
        <w:t xml:space="preserve">w myśl którego </w:t>
      </w:r>
      <w:r w:rsidRPr="00640E7D">
        <w:rPr>
          <w:rFonts w:eastAsia="Calibri"/>
          <w:b/>
          <w:bCs/>
        </w:rPr>
        <w:t xml:space="preserve">celem postepowania restrukturyzacyjnego jest </w:t>
      </w:r>
      <w:r w:rsidR="001C66D3" w:rsidRPr="00640E7D">
        <w:rPr>
          <w:rFonts w:eastAsia="Calibri"/>
          <w:b/>
          <w:bCs/>
        </w:rPr>
        <w:t>uniknięcie ogłoszenia upadłości dłużnika przez umożliwienie mu restrukturyzacji w drodze zawarcia układu z wierzycielami, a w przypadku postępowania sanacyjnego – również przez przeprowadzenie działań sanacyjnych, przy zabezpieczeniu słusznych praw wierzycieli</w:t>
      </w:r>
      <w:r w:rsidR="001C66D3" w:rsidRPr="00BD49EE">
        <w:rPr>
          <w:rFonts w:eastAsia="Calibri"/>
        </w:rPr>
        <w:t xml:space="preserve">. Postępowanie sanacyjne, zgodnie z art. 3 ust. 5 </w:t>
      </w:r>
      <w:proofErr w:type="spellStart"/>
      <w:r w:rsidR="001C66D3" w:rsidRPr="00BD49EE">
        <w:rPr>
          <w:rFonts w:eastAsia="Calibri"/>
        </w:rPr>
        <w:t>PrRestr</w:t>
      </w:r>
      <w:proofErr w:type="spellEnd"/>
      <w:r w:rsidR="001C66D3" w:rsidRPr="00BD49EE">
        <w:rPr>
          <w:rFonts w:eastAsia="Calibri"/>
        </w:rPr>
        <w:t xml:space="preserve"> umożliwia dłużnikowi przeprowadzenie działań sanacyjnych</w:t>
      </w:r>
      <w:r>
        <w:rPr>
          <w:rFonts w:eastAsia="Calibri"/>
        </w:rPr>
        <w:t xml:space="preserve"> – (którymi </w:t>
      </w:r>
      <w:r>
        <w:t>są</w:t>
      </w:r>
      <w:r w:rsidRPr="00026989">
        <w:t xml:space="preserve">, zgodnie z art. 3 ust. 6 </w:t>
      </w:r>
      <w:proofErr w:type="spellStart"/>
      <w:r w:rsidRPr="00026989">
        <w:t>PrRestr</w:t>
      </w:r>
      <w:proofErr w:type="spellEnd"/>
      <w:r>
        <w:t>,</w:t>
      </w:r>
      <w:r w:rsidRPr="00026989">
        <w:t xml:space="preserve"> czynności prawne i faktyczne, które zmierzają do poprawy sytuacji ekonomicznej dłużnika i mają na celu przywrócenie dłużnikowi zdolności do wykonywania zobowiązań, przy jednoczesnej ochronie przed egzekucją</w:t>
      </w:r>
      <w:r>
        <w:t>)</w:t>
      </w:r>
      <w:r w:rsidR="001C66D3" w:rsidRPr="00BD49EE">
        <w:rPr>
          <w:rFonts w:eastAsia="Calibri"/>
        </w:rPr>
        <w:t xml:space="preserve"> oraz zawarcie układu po sporządzeniu i zatwierdzeniu spisu wierzytelności.</w:t>
      </w:r>
    </w:p>
    <w:p w14:paraId="6EB8E6E6" w14:textId="12BB7699" w:rsidR="00980B69" w:rsidRPr="00BD49EE" w:rsidRDefault="00980B69" w:rsidP="00980B69">
      <w:pPr>
        <w:tabs>
          <w:tab w:val="left" w:pos="709"/>
        </w:tabs>
        <w:spacing w:line="360" w:lineRule="auto"/>
        <w:ind w:right="15"/>
        <w:jc w:val="both"/>
      </w:pPr>
      <w:r>
        <w:rPr>
          <w:rFonts w:eastAsia="Calibri"/>
        </w:rPr>
        <w:tab/>
      </w:r>
      <w:r w:rsidR="00640E7D">
        <w:rPr>
          <w:rFonts w:eastAsia="Calibri"/>
        </w:rPr>
        <w:t xml:space="preserve">Ze wskazanymi celami skorelowane są </w:t>
      </w:r>
      <w:r>
        <w:rPr>
          <w:rFonts w:eastAsia="Calibri"/>
        </w:rPr>
        <w:t>funkcje, które ma w założeniu pełnić Prawo restrukturyzacyjne. Według uzasadnienia projektu ustawy „</w:t>
      </w:r>
      <w:r w:rsidRPr="00BD49EE">
        <w:t>Zakłada się, że nowa regulacja będzie spełniała następujące funkcje:</w:t>
      </w:r>
    </w:p>
    <w:p w14:paraId="467EF1C0" w14:textId="77777777" w:rsidR="00980B69" w:rsidRPr="00BD49EE" w:rsidRDefault="00980B69" w:rsidP="00980B69">
      <w:pPr>
        <w:numPr>
          <w:ilvl w:val="0"/>
          <w:numId w:val="5"/>
        </w:numPr>
        <w:tabs>
          <w:tab w:val="left" w:pos="709"/>
        </w:tabs>
        <w:spacing w:line="360" w:lineRule="auto"/>
        <w:ind w:left="1134" w:right="15" w:hanging="425"/>
        <w:jc w:val="both"/>
      </w:pPr>
      <w:r w:rsidRPr="00BD49EE">
        <w:t>funkcję sanacyjną,</w:t>
      </w:r>
    </w:p>
    <w:p w14:paraId="0F0D37AF" w14:textId="77777777" w:rsidR="00980B69" w:rsidRPr="00BD49EE" w:rsidRDefault="00980B69" w:rsidP="00980B69">
      <w:pPr>
        <w:numPr>
          <w:ilvl w:val="0"/>
          <w:numId w:val="5"/>
        </w:numPr>
        <w:tabs>
          <w:tab w:val="left" w:pos="709"/>
        </w:tabs>
        <w:spacing w:line="360" w:lineRule="auto"/>
        <w:ind w:left="1134" w:right="15" w:hanging="425"/>
        <w:jc w:val="both"/>
      </w:pPr>
      <w:r w:rsidRPr="00BD49EE">
        <w:t>funkcję windykacyjną,</w:t>
      </w:r>
    </w:p>
    <w:p w14:paraId="091DDB64" w14:textId="77777777" w:rsidR="00980B69" w:rsidRPr="00BD49EE" w:rsidRDefault="00980B69" w:rsidP="00980B69">
      <w:pPr>
        <w:numPr>
          <w:ilvl w:val="0"/>
          <w:numId w:val="5"/>
        </w:numPr>
        <w:tabs>
          <w:tab w:val="left" w:pos="709"/>
        </w:tabs>
        <w:spacing w:line="360" w:lineRule="auto"/>
        <w:ind w:left="1134" w:right="15" w:hanging="425"/>
        <w:jc w:val="both"/>
      </w:pPr>
      <w:r w:rsidRPr="00BD49EE">
        <w:t>funkcję profilaktyczną,</w:t>
      </w:r>
    </w:p>
    <w:p w14:paraId="59764240" w14:textId="77777777" w:rsidR="00980B69" w:rsidRPr="00BD49EE" w:rsidRDefault="00980B69" w:rsidP="00980B69">
      <w:pPr>
        <w:numPr>
          <w:ilvl w:val="0"/>
          <w:numId w:val="5"/>
        </w:numPr>
        <w:tabs>
          <w:tab w:val="left" w:pos="709"/>
        </w:tabs>
        <w:spacing w:line="360" w:lineRule="auto"/>
        <w:ind w:left="1134" w:right="15" w:hanging="425"/>
        <w:jc w:val="both"/>
      </w:pPr>
      <w:r w:rsidRPr="00BD49EE">
        <w:t>funkcję wychowawczą.</w:t>
      </w:r>
    </w:p>
    <w:p w14:paraId="28D8708F" w14:textId="77777777" w:rsidR="00980B69" w:rsidRPr="00BD49EE" w:rsidRDefault="00980B69" w:rsidP="00980B69">
      <w:pPr>
        <w:tabs>
          <w:tab w:val="left" w:pos="709"/>
        </w:tabs>
        <w:spacing w:line="360" w:lineRule="auto"/>
        <w:ind w:right="15" w:firstLine="360"/>
        <w:jc w:val="both"/>
      </w:pPr>
      <w:r w:rsidRPr="00BD49EE">
        <w:tab/>
        <w:t xml:space="preserve">Ochrona ekonomicznej wartości przedsiębiorstwa w kryzysie ma istotne znaczenie dla gospodarki kraju. Funkcja sanacyjna będzie wyrażała się w umożliwieniu dłużnikowi skutecznej restrukturyzacji przedsiębiorstwa. </w:t>
      </w:r>
    </w:p>
    <w:p w14:paraId="1262F997" w14:textId="5D72FACB" w:rsidR="00980B69" w:rsidRPr="00BD49EE" w:rsidRDefault="00980B69" w:rsidP="00980B69">
      <w:pPr>
        <w:tabs>
          <w:tab w:val="left" w:pos="709"/>
        </w:tabs>
        <w:spacing w:line="360" w:lineRule="auto"/>
        <w:ind w:right="15" w:firstLine="360"/>
        <w:jc w:val="both"/>
      </w:pPr>
      <w:r w:rsidRPr="00BD49EE">
        <w:tab/>
        <w:t xml:space="preserve">Postępowania restrukturyzacyjne nie mogą jednak prowadzić do pozbawienia ochrony prawnej wierzycieli dłużnika. Stąd też, obok funkcji sanacyjnej, przepisy </w:t>
      </w:r>
      <w:proofErr w:type="spellStart"/>
      <w:r>
        <w:t>PrRestr</w:t>
      </w:r>
      <w:proofErr w:type="spellEnd"/>
      <w:r>
        <w:t>.</w:t>
      </w:r>
      <w:r w:rsidRPr="00BD49EE">
        <w:t xml:space="preserve"> realizują funkcję windykacyjną. Postępowania restrukturyzacyjne mają doprowadzić do zaspokojenia wierzycieli w drodze wykonania zawartego i zatwierdzonego przez sąd układu. Prawo restrukturyzacyjne ma zapewnić warunki, o ile to możliwe, do wynegocjowania warunków realizacji układów, które zapewnią maksymalne zaspokojenie wierzycieli, przy maksymalnej ochronie wartości ekonomicznej przedsiębiorstwa. </w:t>
      </w:r>
    </w:p>
    <w:p w14:paraId="7A0DCEF3" w14:textId="77777777" w:rsidR="00980B69" w:rsidRPr="00BD49EE" w:rsidRDefault="00980B69" w:rsidP="00980B69">
      <w:pPr>
        <w:tabs>
          <w:tab w:val="left" w:pos="709"/>
        </w:tabs>
        <w:spacing w:line="360" w:lineRule="auto"/>
        <w:ind w:right="15" w:firstLine="360"/>
        <w:jc w:val="both"/>
      </w:pPr>
      <w:r w:rsidRPr="00BD49EE">
        <w:tab/>
        <w:t>Prawo restrukturyzacyjne ma również zapobiegać powstawaniu zatorów płatniczych, które mogą doprowadzić do zaburzenia płynności, a w skrajnych wypadkach – do niewypłacalności wierzycieli upadłego (funkcja profilaktyczna).</w:t>
      </w:r>
    </w:p>
    <w:p w14:paraId="71D7F22A" w14:textId="46954240" w:rsidR="00640E7D" w:rsidRPr="00BD49EE" w:rsidRDefault="00980B69" w:rsidP="00980B69">
      <w:pPr>
        <w:spacing w:line="360" w:lineRule="auto"/>
        <w:ind w:firstLine="708"/>
        <w:jc w:val="both"/>
        <w:rPr>
          <w:rFonts w:eastAsia="Calibri"/>
        </w:rPr>
      </w:pPr>
      <w:r w:rsidRPr="00BD49EE">
        <w:t xml:space="preserve">Prawo restrukturyzacyjne ma na celu kształtowanie dobrych praktyk gospodarczych poprzez przekonywanie przedsiębiorców, że jedną z możliwości rozwiązania sytuacji kryzysowych jest złożenie wniosku o otwarcie postępowania restrukturyzacyjnego, które </w:t>
      </w:r>
      <w:r w:rsidRPr="00BD49EE">
        <w:lastRenderedPageBreak/>
        <w:t>będzie procedurą odrębną od stygmatyzujących postępowań upadłościowych (funkcja wychowawcza).</w:t>
      </w:r>
      <w:r>
        <w:t>”</w:t>
      </w:r>
    </w:p>
    <w:p w14:paraId="2451F93A" w14:textId="08D29FB3" w:rsidR="001C66D3" w:rsidRPr="00BD49EE" w:rsidRDefault="00980B69" w:rsidP="009C0155">
      <w:pPr>
        <w:spacing w:line="360" w:lineRule="auto"/>
        <w:ind w:firstLine="708"/>
        <w:jc w:val="both"/>
        <w:rPr>
          <w:rFonts w:eastAsia="Calibri"/>
        </w:rPr>
      </w:pPr>
      <w:r>
        <w:rPr>
          <w:rFonts w:eastAsia="Calibri"/>
        </w:rPr>
        <w:t xml:space="preserve">Za </w:t>
      </w:r>
      <w:r w:rsidR="001C66D3" w:rsidRPr="00BD49EE">
        <w:rPr>
          <w:rFonts w:eastAsia="Calibri"/>
        </w:rPr>
        <w:t>kluczow</w:t>
      </w:r>
      <w:r>
        <w:rPr>
          <w:rFonts w:eastAsia="Calibri"/>
        </w:rPr>
        <w:t>ą</w:t>
      </w:r>
      <w:r w:rsidR="001C66D3" w:rsidRPr="00BD49EE">
        <w:rPr>
          <w:rFonts w:eastAsia="Calibri"/>
        </w:rPr>
        <w:t xml:space="preserve"> funkcj</w:t>
      </w:r>
      <w:r>
        <w:rPr>
          <w:rFonts w:eastAsia="Calibri"/>
        </w:rPr>
        <w:t>ę</w:t>
      </w:r>
      <w:r w:rsidR="001C66D3" w:rsidRPr="00BD49EE">
        <w:rPr>
          <w:rFonts w:eastAsia="Calibri"/>
        </w:rPr>
        <w:t xml:space="preserve"> prawa restrukturyzacyjnego należy </w:t>
      </w:r>
      <w:r>
        <w:rPr>
          <w:rFonts w:eastAsia="Calibri"/>
        </w:rPr>
        <w:t xml:space="preserve">uznać bez wątpienia </w:t>
      </w:r>
      <w:r w:rsidR="001C66D3" w:rsidRPr="00BD49EE">
        <w:rPr>
          <w:rFonts w:eastAsia="Calibri"/>
        </w:rPr>
        <w:t>funkcj</w:t>
      </w:r>
      <w:r>
        <w:rPr>
          <w:rFonts w:eastAsia="Calibri"/>
        </w:rPr>
        <w:t>ę</w:t>
      </w:r>
      <w:r w:rsidR="001C66D3" w:rsidRPr="00BD49EE">
        <w:rPr>
          <w:rFonts w:eastAsia="Calibri"/>
        </w:rPr>
        <w:t xml:space="preserve"> sanacyjn</w:t>
      </w:r>
      <w:r>
        <w:rPr>
          <w:rFonts w:eastAsia="Calibri"/>
        </w:rPr>
        <w:t>ą</w:t>
      </w:r>
      <w:r w:rsidR="001C66D3" w:rsidRPr="00BD49EE">
        <w:rPr>
          <w:rFonts w:eastAsia="Calibri"/>
        </w:rPr>
        <w:t>, polegająca na uzdrowieniu sytuacji ekonomicznej dłużnika</w:t>
      </w:r>
      <w:r w:rsidR="00133DF4">
        <w:rPr>
          <w:rFonts w:eastAsia="Calibri"/>
        </w:rPr>
        <w:t>,</w:t>
      </w:r>
      <w:r w:rsidR="001C66D3" w:rsidRPr="00BD49EE">
        <w:rPr>
          <w:rFonts w:eastAsia="Calibri"/>
        </w:rPr>
        <w:t xml:space="preserve"> co w założeniu ma doprowadzić do osiągnięcia wyżej wskazanego celu postępowania restrukturyzacyjnego z art. 3 ust. 1 </w:t>
      </w:r>
      <w:proofErr w:type="spellStart"/>
      <w:r w:rsidR="001C66D3" w:rsidRPr="00BD49EE">
        <w:rPr>
          <w:rFonts w:eastAsia="Calibri"/>
        </w:rPr>
        <w:t>PrRestr</w:t>
      </w:r>
      <w:proofErr w:type="spellEnd"/>
      <w:r w:rsidR="001C66D3" w:rsidRPr="00BD49EE">
        <w:rPr>
          <w:rFonts w:eastAsia="Calibri"/>
        </w:rPr>
        <w:t xml:space="preserve">, a więc uniknięcia upadłości dłużnika i umożliwienia mu tym samym dalszego funkcjonowania w obrocie gospodarczym. Równocześnie wskazany przepis wymaga zabezpieczenia słusznych praw wierzycieli, co oznacza przede wszystkim dążenie do ich jak najpełniejszego zaspokojenia. </w:t>
      </w:r>
    </w:p>
    <w:p w14:paraId="431392AF" w14:textId="5C64EBC5" w:rsidR="00BD49EE" w:rsidRDefault="00BD49EE" w:rsidP="009C0155">
      <w:pPr>
        <w:spacing w:line="360" w:lineRule="auto"/>
        <w:jc w:val="both"/>
      </w:pPr>
    </w:p>
    <w:p w14:paraId="26B5BBC9" w14:textId="77FD2FBA" w:rsidR="006C1AFA" w:rsidRPr="00980B69" w:rsidRDefault="00980B69" w:rsidP="00980B69">
      <w:pPr>
        <w:pStyle w:val="Akapitzlist"/>
        <w:numPr>
          <w:ilvl w:val="0"/>
          <w:numId w:val="10"/>
        </w:numPr>
        <w:spacing w:line="360" w:lineRule="auto"/>
        <w:rPr>
          <w:b/>
          <w:bCs/>
        </w:rPr>
      </w:pPr>
      <w:r w:rsidRPr="00980B69">
        <w:rPr>
          <w:b/>
          <w:bCs/>
        </w:rPr>
        <w:t xml:space="preserve">Zasady </w:t>
      </w:r>
      <w:r w:rsidR="009159BC">
        <w:rPr>
          <w:b/>
          <w:bCs/>
        </w:rPr>
        <w:t>p</w:t>
      </w:r>
      <w:r w:rsidRPr="00980B69">
        <w:rPr>
          <w:b/>
          <w:bCs/>
        </w:rPr>
        <w:t xml:space="preserve">rawa restrukturyzacyjnego </w:t>
      </w:r>
    </w:p>
    <w:p w14:paraId="7CF14531" w14:textId="121C9CD2" w:rsidR="00980B69" w:rsidRPr="00BD49EE" w:rsidRDefault="00BD49EE" w:rsidP="00980B69">
      <w:pPr>
        <w:tabs>
          <w:tab w:val="left" w:pos="709"/>
        </w:tabs>
        <w:spacing w:line="360" w:lineRule="auto"/>
        <w:ind w:left="360" w:right="15"/>
        <w:jc w:val="both"/>
      </w:pPr>
      <w:r w:rsidRPr="00BD49EE">
        <w:tab/>
      </w:r>
    </w:p>
    <w:p w14:paraId="748778B1" w14:textId="14431A09" w:rsidR="00BD49EE" w:rsidRPr="00BD49EE" w:rsidRDefault="00BD49EE" w:rsidP="009C0155">
      <w:pPr>
        <w:spacing w:line="360" w:lineRule="auto"/>
        <w:jc w:val="both"/>
        <w:rPr>
          <w:rFonts w:eastAsia="Arial Unicode MS"/>
          <w:u w:color="000000"/>
        </w:rPr>
      </w:pPr>
      <w:r w:rsidRPr="00BD49EE">
        <w:rPr>
          <w:rFonts w:eastAsia="Arial Unicode MS"/>
          <w:u w:color="000000"/>
        </w:rPr>
        <w:tab/>
      </w:r>
      <w:r w:rsidR="009159BC">
        <w:rPr>
          <w:rFonts w:eastAsia="Arial Unicode MS"/>
          <w:u w:color="000000"/>
        </w:rPr>
        <w:t xml:space="preserve">Jak wskazano w uzasadnieniu do projektu </w:t>
      </w:r>
      <w:r w:rsidRPr="00BD49EE">
        <w:rPr>
          <w:rFonts w:eastAsia="Arial Unicode MS"/>
          <w:u w:color="000000"/>
        </w:rPr>
        <w:t>przedmiot nowej regulacji, jej cel oraz funkcje determinują również charakter naczelnych zasad prawa restrukturyzacyjnego:</w:t>
      </w:r>
    </w:p>
    <w:p w14:paraId="0C2E11D8" w14:textId="77777777" w:rsidR="00BD49EE" w:rsidRPr="00BD49EE" w:rsidRDefault="00BD49EE" w:rsidP="009C0155">
      <w:pPr>
        <w:pStyle w:val="Akapitzlist"/>
        <w:numPr>
          <w:ilvl w:val="0"/>
          <w:numId w:val="7"/>
        </w:numPr>
        <w:spacing w:line="360" w:lineRule="auto"/>
        <w:ind w:hanging="11"/>
        <w:contextualSpacing w:val="0"/>
        <w:rPr>
          <w:rFonts w:eastAsia="Arial Unicode MS"/>
          <w:szCs w:val="24"/>
          <w:u w:color="000000"/>
        </w:rPr>
      </w:pPr>
      <w:r w:rsidRPr="00BD49EE">
        <w:rPr>
          <w:rFonts w:eastAsia="Arial Unicode MS"/>
          <w:szCs w:val="24"/>
          <w:u w:color="000000"/>
        </w:rPr>
        <w:t>zasady ochrony słusznych praw dłużnika;</w:t>
      </w:r>
    </w:p>
    <w:p w14:paraId="5E6F428A" w14:textId="77777777" w:rsidR="00BD49EE" w:rsidRPr="00BD49EE" w:rsidRDefault="00BD49EE" w:rsidP="009C0155">
      <w:pPr>
        <w:pStyle w:val="Akapitzlist"/>
        <w:numPr>
          <w:ilvl w:val="0"/>
          <w:numId w:val="7"/>
        </w:numPr>
        <w:spacing w:line="360" w:lineRule="auto"/>
        <w:ind w:hanging="11"/>
        <w:contextualSpacing w:val="0"/>
        <w:rPr>
          <w:rFonts w:eastAsia="Arial Unicode MS"/>
          <w:szCs w:val="24"/>
          <w:u w:color="000000"/>
        </w:rPr>
      </w:pPr>
      <w:r w:rsidRPr="00BD49EE">
        <w:rPr>
          <w:rFonts w:eastAsia="Arial Unicode MS"/>
          <w:szCs w:val="24"/>
          <w:u w:color="000000"/>
        </w:rPr>
        <w:t>zasady dominacji grupowego (zbiorowego) interesu wierzycieli.</w:t>
      </w:r>
    </w:p>
    <w:p w14:paraId="6D589560" w14:textId="1A47722E" w:rsidR="00BD49EE" w:rsidRPr="00BD49EE" w:rsidRDefault="00BD49EE" w:rsidP="009C0155">
      <w:pPr>
        <w:spacing w:line="360" w:lineRule="auto"/>
        <w:jc w:val="both"/>
        <w:rPr>
          <w:rFonts w:eastAsia="Arial Unicode MS"/>
          <w:u w:color="000000"/>
        </w:rPr>
      </w:pPr>
      <w:r w:rsidRPr="00BD49EE">
        <w:rPr>
          <w:rFonts w:eastAsia="Arial Unicode MS"/>
          <w:u w:color="000000"/>
        </w:rPr>
        <w:tab/>
        <w:t xml:space="preserve">Postępowanie restrukturyzacyjne będzie prowadzone w interesie dłużnika – celem postępowania jest restrukturyzacja przedsiębiorstwa dłużnika i zapobieżenie jego likwidacji. Z tego powodu </w:t>
      </w:r>
      <w:proofErr w:type="spellStart"/>
      <w:r w:rsidR="009159BC">
        <w:rPr>
          <w:rFonts w:eastAsia="Arial Unicode MS"/>
          <w:u w:color="000000"/>
        </w:rPr>
        <w:t>PrRestr</w:t>
      </w:r>
      <w:proofErr w:type="spellEnd"/>
      <w:r w:rsidRPr="00BD49EE">
        <w:rPr>
          <w:rFonts w:eastAsia="Arial Unicode MS"/>
          <w:u w:color="000000"/>
        </w:rPr>
        <w:t xml:space="preserve"> przewiduje możliwość udzielenia dłużnikowi ochrony przed wierzycielami przez regulacje dotyczące zawieszania postępowań egzekucyjnych i możliwość uchylenia zajęć. </w:t>
      </w:r>
    </w:p>
    <w:p w14:paraId="7A677DA1" w14:textId="77777777" w:rsidR="00BD49EE" w:rsidRPr="00BD49EE" w:rsidRDefault="00BD49EE" w:rsidP="009C0155">
      <w:pPr>
        <w:spacing w:line="360" w:lineRule="auto"/>
        <w:jc w:val="both"/>
        <w:rPr>
          <w:rFonts w:eastAsia="Arial Unicode MS"/>
          <w:u w:color="000000"/>
        </w:rPr>
      </w:pPr>
      <w:r w:rsidRPr="00BD49EE">
        <w:rPr>
          <w:rFonts w:eastAsia="Arial Unicode MS"/>
          <w:u w:color="000000"/>
        </w:rPr>
        <w:tab/>
        <w:t>Postępowanie restrukturyzacyjne jest postępowaniem wspólnym (zbiorowym). Uczestnikami tego postępowania są wszyscy wierzyciele osobiści dłużnika, których interesy ekonomiczne mogą być jednak różne. Co do zasady, założeniem postępowania wspólnego jest priorytet wspólnego interesu wierzycieli nad interesem pojedynczego wierzyciela lub grupy wierzycieli. Inny interes mają wierzyciele zabezpieczeni na majątku dłużnika w sposób, który gwarantuje im 100% zaspokojenia w przypadku likwidacji tego majątku, a inny pracownicy, którzy przede wszystkim są zainteresowani utrzymaniem miejsc pracy. Prawo restrukturyzacyjne przewiduje instrumenty pozwalające na wyważanie i w miarę możliwości wspólne realizowanie tych interesów.</w:t>
      </w:r>
    </w:p>
    <w:p w14:paraId="40E551ED" w14:textId="10AA8000" w:rsidR="00BD49EE" w:rsidRPr="00BD49EE" w:rsidRDefault="009159BC" w:rsidP="009159BC">
      <w:pPr>
        <w:spacing w:line="360" w:lineRule="auto"/>
        <w:ind w:firstLine="708"/>
        <w:jc w:val="both"/>
        <w:rPr>
          <w:rFonts w:eastAsia="Arial Unicode MS"/>
          <w:u w:color="000000"/>
        </w:rPr>
      </w:pPr>
      <w:r>
        <w:rPr>
          <w:rFonts w:eastAsia="Arial Unicode MS"/>
          <w:u w:color="000000"/>
        </w:rPr>
        <w:t>Aby zapewnić realizację wskazanych funkcji i celów, p</w:t>
      </w:r>
      <w:r w:rsidR="00BD49EE" w:rsidRPr="00BD49EE">
        <w:rPr>
          <w:rFonts w:eastAsia="Arial Unicode MS"/>
          <w:u w:color="000000"/>
        </w:rPr>
        <w:t xml:space="preserve">ostępowanie restrukturyzacyjne  </w:t>
      </w:r>
      <w:r>
        <w:rPr>
          <w:rFonts w:eastAsia="Arial Unicode MS"/>
          <w:u w:color="000000"/>
        </w:rPr>
        <w:t xml:space="preserve">zostało oparte na </w:t>
      </w:r>
      <w:r w:rsidR="00BD49EE" w:rsidRPr="00BD49EE">
        <w:rPr>
          <w:rFonts w:eastAsia="Arial Unicode MS"/>
          <w:u w:color="000000"/>
        </w:rPr>
        <w:t>następujący</w:t>
      </w:r>
      <w:r>
        <w:rPr>
          <w:rFonts w:eastAsia="Arial Unicode MS"/>
          <w:u w:color="000000"/>
        </w:rPr>
        <w:t>ch</w:t>
      </w:r>
      <w:r w:rsidR="00BD49EE" w:rsidRPr="00BD49EE">
        <w:rPr>
          <w:rFonts w:eastAsia="Arial Unicode MS"/>
          <w:u w:color="000000"/>
        </w:rPr>
        <w:t xml:space="preserve"> zasada</w:t>
      </w:r>
      <w:r>
        <w:rPr>
          <w:rFonts w:eastAsia="Arial Unicode MS"/>
          <w:u w:color="000000"/>
        </w:rPr>
        <w:t>ch</w:t>
      </w:r>
      <w:r w:rsidR="00BD49EE" w:rsidRPr="00BD49EE">
        <w:rPr>
          <w:rFonts w:eastAsia="Arial Unicode MS"/>
          <w:u w:color="000000"/>
        </w:rPr>
        <w:t>:</w:t>
      </w:r>
    </w:p>
    <w:p w14:paraId="3884C864" w14:textId="77777777" w:rsidR="00BD49EE" w:rsidRPr="00BD49EE" w:rsidRDefault="00BD49EE" w:rsidP="009159BC">
      <w:pPr>
        <w:pStyle w:val="Akapitzlist"/>
        <w:numPr>
          <w:ilvl w:val="0"/>
          <w:numId w:val="8"/>
        </w:numPr>
        <w:spacing w:line="360" w:lineRule="auto"/>
        <w:ind w:left="709" w:hanging="567"/>
        <w:contextualSpacing w:val="0"/>
        <w:rPr>
          <w:rFonts w:eastAsia="Arial Unicode MS"/>
          <w:szCs w:val="24"/>
          <w:u w:color="000000"/>
        </w:rPr>
      </w:pPr>
      <w:r w:rsidRPr="00BD49EE">
        <w:rPr>
          <w:rFonts w:eastAsia="Arial Unicode MS"/>
          <w:szCs w:val="24"/>
          <w:u w:color="000000"/>
        </w:rPr>
        <w:t xml:space="preserve">zasada szybkości postępowania – postępowanie restrukturyzacyjne z założenia powinno przebiegać szybko. Realne szanse na zachowanie przedsiębiorstwa dłużnika mogą </w:t>
      </w:r>
      <w:r w:rsidRPr="00BD49EE">
        <w:rPr>
          <w:rFonts w:eastAsia="Arial Unicode MS"/>
          <w:szCs w:val="24"/>
          <w:u w:color="000000"/>
        </w:rPr>
        <w:lastRenderedPageBreak/>
        <w:t>bowiem zostać utracone poprzez długotrwałą i skomplikowaną procedurę. Prawo restrukturyzacyjne wprowadza wiele rozwiązań, które mają na celu zagwarantowanie szybkości i sprawności postępowania, np. terminy instrukcyjne dla sądu, sędziego-komisarza, nadzorcy sądowego i zarządcy, ustalanie spisu wierzytelności na podstawie dokumentów dłużnika, tj. bez zgłoszeń wierzytelności, obowiązek zatwierdzania spisu wierzytelności i wyznaczenia terminu zgromadzenia wierzycieli, mimo nierozpoznania wszystkich sprzeciwów, ograniczenia dowodowe w postępowaniu wywołanym sprzeciwem;</w:t>
      </w:r>
    </w:p>
    <w:p w14:paraId="59086F41" w14:textId="77777777" w:rsidR="00BD49EE" w:rsidRPr="00BD49EE" w:rsidRDefault="00BD49EE" w:rsidP="009159BC">
      <w:pPr>
        <w:pStyle w:val="Akapitzlist"/>
        <w:numPr>
          <w:ilvl w:val="0"/>
          <w:numId w:val="8"/>
        </w:numPr>
        <w:spacing w:line="360" w:lineRule="auto"/>
        <w:ind w:left="709" w:hanging="567"/>
        <w:contextualSpacing w:val="0"/>
        <w:rPr>
          <w:rFonts w:eastAsia="Arial Unicode MS"/>
          <w:szCs w:val="24"/>
          <w:u w:color="000000"/>
        </w:rPr>
      </w:pPr>
      <w:r w:rsidRPr="00BD49EE">
        <w:rPr>
          <w:rFonts w:eastAsia="Arial Unicode MS"/>
          <w:szCs w:val="24"/>
          <w:u w:color="000000"/>
        </w:rPr>
        <w:t>zasada równości uczestników postępowania – każdy z uczestników postępowania tj. zarówno dłużnik, jak i wierzyciele, będzie posiadał możliwość korzystania z jednakowych środków prowadzących do obrony swoich interesów w postępowaniu;</w:t>
      </w:r>
    </w:p>
    <w:p w14:paraId="33A10308" w14:textId="4F6BAA37" w:rsidR="00BD49EE" w:rsidRPr="00BD49EE" w:rsidRDefault="00BD49EE" w:rsidP="009159BC">
      <w:pPr>
        <w:pStyle w:val="Akapitzlist"/>
        <w:numPr>
          <w:ilvl w:val="0"/>
          <w:numId w:val="8"/>
        </w:numPr>
        <w:spacing w:line="360" w:lineRule="auto"/>
        <w:ind w:left="709" w:hanging="567"/>
        <w:contextualSpacing w:val="0"/>
        <w:rPr>
          <w:rFonts w:eastAsia="Arial Unicode MS"/>
          <w:szCs w:val="24"/>
          <w:u w:color="000000"/>
        </w:rPr>
      </w:pPr>
      <w:r w:rsidRPr="00BD49EE">
        <w:rPr>
          <w:rFonts w:eastAsia="Arial Unicode MS"/>
          <w:szCs w:val="24"/>
          <w:u w:color="000000"/>
        </w:rPr>
        <w:t xml:space="preserve">zasada jawności – rozpoznawanie spraw przed sądami restrukturyzacyjnymi będzie odbywało się jawnie. </w:t>
      </w:r>
    </w:p>
    <w:p w14:paraId="024976D3" w14:textId="77777777" w:rsidR="00D83829" w:rsidRDefault="00D83829" w:rsidP="009C0155">
      <w:pPr>
        <w:spacing w:line="360" w:lineRule="auto"/>
        <w:jc w:val="both"/>
      </w:pPr>
    </w:p>
    <w:p w14:paraId="4DD6BC3F" w14:textId="77777777" w:rsidR="0013105A" w:rsidRDefault="00D83829" w:rsidP="00D83829">
      <w:pPr>
        <w:spacing w:line="360" w:lineRule="auto"/>
        <w:ind w:firstLine="708"/>
        <w:jc w:val="both"/>
      </w:pPr>
      <w:r>
        <w:t xml:space="preserve">Na szczeblu systemowym – w zakresie relacji pomiędzy prawem upadłościowym i prawem restrukturyzacyjnym należy zwłaszcza zwrócić uwagę na przyjęcie przez ustawodawcę zasady prymatu postępowania restrukturyzacyjnego nad postępowaniem upadłościowym. Wyraża ją art. 9b ust. 1 Prawa upadłościowego, w myśl którego w przypadku złożenia wniosku o ogłoszenie upadłości i wniosku restrukturyzacyjnego, w pierwszej kolejności rozpoznaje się wniosek restrukturyzacyjny. Ponadto, jak stanowi ust. 2 tego przepisu sąd upadłościowy wstrzymuje rozpoznanie wniosku o ogłoszenie upadłości do czasu wydania prawomocnego orzeczenia w sprawie wniosku restrukturyzacyjnego. Wstrzymanie rozpoznania wniosku o ogłoszenie upadłości nie wyłącza możliwości zabezpieczenia majątku. </w:t>
      </w:r>
    </w:p>
    <w:p w14:paraId="454582DE" w14:textId="663B3359" w:rsidR="00BD49EE" w:rsidRDefault="00D83829" w:rsidP="00133DF4">
      <w:pPr>
        <w:spacing w:line="360" w:lineRule="auto"/>
        <w:ind w:firstLine="708"/>
        <w:jc w:val="both"/>
      </w:pPr>
      <w:r>
        <w:t>Przepisu ust. 2 nie stosuje się jeżeli wstrzymaniu rozpoznania wniosku o ogłoszenie upadłości sprzeciwia się interes ogółu wierzycieli,. W takiej sytuacji sąd upadłościowy wydaje postanowienie o przejęciu wniosku o ogłoszenie upadłości i wniosku restrukturyzacyjnego do wspólnego rozpoznania i rozstrzygnięcia jednym postanowieniem. Sąd upadłościowy rozpoznaje wnioski w składzie właściwym dla rozpoznania wniosku o ogłoszenie upadłości.</w:t>
      </w:r>
      <w:r w:rsidR="0013105A">
        <w:t xml:space="preserve"> </w:t>
      </w:r>
      <w:r>
        <w:t>Jeżeli przejęcie wniosku o ogłoszenie upadłości i wniosku restrukturyzacyjnego do wspólnego rozpoznania prowadziłoby do znacznego opóźnienia wydania orzeczenia w przedmiocie ogłoszenia upadłości, ze szkodą dla wierzycieli, a podstawy restrukturyzacji przedstawione przez dłużnika we wniosku restrukturyzacyjnym są znane sądowi upadłościowemu, sąd upadłościowy nie wydaje postanowienia o przejęciu wniosków do wspólnego rozpoznania i rozpoznaje wniosek o ogłoszenie upadłości, o czym zawiadamia sąd restrukturyzacyjny</w:t>
      </w:r>
      <w:r w:rsidR="0013105A">
        <w:t>.</w:t>
      </w:r>
    </w:p>
    <w:sectPr w:rsidR="00BD49E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4EB73" w14:textId="77777777" w:rsidR="00650F13" w:rsidRDefault="00650F13" w:rsidP="001C66D3">
      <w:r>
        <w:separator/>
      </w:r>
    </w:p>
  </w:endnote>
  <w:endnote w:type="continuationSeparator" w:id="0">
    <w:p w14:paraId="5F61AF6D" w14:textId="77777777" w:rsidR="00650F13" w:rsidRDefault="00650F13" w:rsidP="001C6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820010"/>
      <w:docPartObj>
        <w:docPartGallery w:val="Page Numbers (Bottom of Page)"/>
        <w:docPartUnique/>
      </w:docPartObj>
    </w:sdtPr>
    <w:sdtEndPr/>
    <w:sdtContent>
      <w:p w14:paraId="17F7285C" w14:textId="06CC3AB3" w:rsidR="00EC222B" w:rsidRDefault="00EC222B">
        <w:pPr>
          <w:pStyle w:val="Stopka"/>
          <w:jc w:val="right"/>
        </w:pPr>
        <w:r>
          <w:fldChar w:fldCharType="begin"/>
        </w:r>
        <w:r>
          <w:instrText>PAGE   \* MERGEFORMAT</w:instrText>
        </w:r>
        <w:r>
          <w:fldChar w:fldCharType="separate"/>
        </w:r>
        <w:r>
          <w:t>2</w:t>
        </w:r>
        <w:r>
          <w:fldChar w:fldCharType="end"/>
        </w:r>
      </w:p>
    </w:sdtContent>
  </w:sdt>
  <w:p w14:paraId="1715A850" w14:textId="77777777" w:rsidR="00EC222B" w:rsidRDefault="00EC22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6BAB3" w14:textId="77777777" w:rsidR="00650F13" w:rsidRDefault="00650F13" w:rsidP="001C66D3">
      <w:r>
        <w:separator/>
      </w:r>
    </w:p>
  </w:footnote>
  <w:footnote w:type="continuationSeparator" w:id="0">
    <w:p w14:paraId="0C8E54A7" w14:textId="77777777" w:rsidR="00650F13" w:rsidRDefault="00650F13" w:rsidP="001C6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113"/>
    <w:multiLevelType w:val="multilevel"/>
    <w:tmpl w:val="AF90AE0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CE55346"/>
    <w:multiLevelType w:val="hybridMultilevel"/>
    <w:tmpl w:val="F57C348A"/>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 w15:restartNumberingAfterBreak="0">
    <w:nsid w:val="298E6FCD"/>
    <w:multiLevelType w:val="hybridMultilevel"/>
    <w:tmpl w:val="7B747ABC"/>
    <w:lvl w:ilvl="0" w:tplc="04150017">
      <w:start w:val="1"/>
      <w:numFmt w:val="lowerLetter"/>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3" w15:restartNumberingAfterBreak="0">
    <w:nsid w:val="2C7B395B"/>
    <w:multiLevelType w:val="hybridMultilevel"/>
    <w:tmpl w:val="15606B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3D6635"/>
    <w:multiLevelType w:val="hybridMultilevel"/>
    <w:tmpl w:val="97D06BB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EE05C56"/>
    <w:multiLevelType w:val="hybridMultilevel"/>
    <w:tmpl w:val="D0AA9D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4BA5BCE"/>
    <w:multiLevelType w:val="hybridMultilevel"/>
    <w:tmpl w:val="BE900D38"/>
    <w:lvl w:ilvl="0" w:tplc="0415000F">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0F0F9C"/>
    <w:multiLevelType w:val="hybridMultilevel"/>
    <w:tmpl w:val="2B1651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C527E8D"/>
    <w:multiLevelType w:val="hybridMultilevel"/>
    <w:tmpl w:val="AA2E56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9EC31D0"/>
    <w:multiLevelType w:val="hybridMultilevel"/>
    <w:tmpl w:val="C98476E8"/>
    <w:lvl w:ilvl="0" w:tplc="2D96443E">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8"/>
  </w:num>
  <w:num w:numId="3">
    <w:abstractNumId w:val="1"/>
  </w:num>
  <w:num w:numId="4">
    <w:abstractNumId w:val="5"/>
  </w:num>
  <w:num w:numId="5">
    <w:abstractNumId w:val="2"/>
  </w:num>
  <w:num w:numId="6">
    <w:abstractNumId w:val="4"/>
  </w:num>
  <w:num w:numId="7">
    <w:abstractNumId w:val="7"/>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9F3"/>
    <w:rsid w:val="00001C4E"/>
    <w:rsid w:val="00050ABE"/>
    <w:rsid w:val="00061558"/>
    <w:rsid w:val="001229F3"/>
    <w:rsid w:val="0013105A"/>
    <w:rsid w:val="00133DF4"/>
    <w:rsid w:val="001C66D3"/>
    <w:rsid w:val="001F7BEA"/>
    <w:rsid w:val="002234F9"/>
    <w:rsid w:val="002B3324"/>
    <w:rsid w:val="002D5438"/>
    <w:rsid w:val="002F1251"/>
    <w:rsid w:val="0041579F"/>
    <w:rsid w:val="004F5917"/>
    <w:rsid w:val="005C069E"/>
    <w:rsid w:val="005D0B5C"/>
    <w:rsid w:val="005F2C54"/>
    <w:rsid w:val="00640E7D"/>
    <w:rsid w:val="00650F13"/>
    <w:rsid w:val="006B7722"/>
    <w:rsid w:val="006C1AFA"/>
    <w:rsid w:val="006E2621"/>
    <w:rsid w:val="007C0E41"/>
    <w:rsid w:val="00892084"/>
    <w:rsid w:val="009159BC"/>
    <w:rsid w:val="00921B0E"/>
    <w:rsid w:val="00980B69"/>
    <w:rsid w:val="009C0155"/>
    <w:rsid w:val="00A56BD2"/>
    <w:rsid w:val="00BC6C51"/>
    <w:rsid w:val="00BD49EE"/>
    <w:rsid w:val="00C85D67"/>
    <w:rsid w:val="00CD3DA6"/>
    <w:rsid w:val="00D83829"/>
    <w:rsid w:val="00E81471"/>
    <w:rsid w:val="00EC222B"/>
    <w:rsid w:val="00EE4886"/>
    <w:rsid w:val="00F573E1"/>
    <w:rsid w:val="00F7621C"/>
    <w:rsid w:val="00FC1FF7"/>
    <w:rsid w:val="00FE32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542E2"/>
  <w15:chartTrackingRefBased/>
  <w15:docId w15:val="{7AD0812F-334C-4476-A5E2-328AE427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29F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autoRedefine/>
    <w:unhideWhenUsed/>
    <w:qFormat/>
    <w:rsid w:val="00BD49EE"/>
    <w:pPr>
      <w:keepNext/>
      <w:keepLines/>
      <w:spacing w:before="120" w:after="120" w:line="276" w:lineRule="auto"/>
      <w:outlineLvl w:val="1"/>
    </w:pPr>
    <w:rPr>
      <w:rFonts w:eastAsiaTheme="majorEastAsia" w:cstheme="majorBidi"/>
      <w:b/>
      <w:bCs/>
      <w:sz w:val="22"/>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TekstpodstawowyInterlinia15wiersza">
    <w:name w:val="Styl Tekst podstawowy + Interlinia:  15 wiersza"/>
    <w:basedOn w:val="Tekstpodstawowy"/>
    <w:rsid w:val="001229F3"/>
    <w:pPr>
      <w:spacing w:after="0" w:line="360" w:lineRule="auto"/>
      <w:jc w:val="both"/>
    </w:pPr>
    <w:rPr>
      <w:szCs w:val="20"/>
    </w:rPr>
  </w:style>
  <w:style w:type="paragraph" w:customStyle="1" w:styleId="Default">
    <w:name w:val="Default"/>
    <w:rsid w:val="001229F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uiPriority w:val="99"/>
    <w:semiHidden/>
    <w:unhideWhenUsed/>
    <w:rsid w:val="001229F3"/>
    <w:pPr>
      <w:spacing w:after="120"/>
    </w:pPr>
  </w:style>
  <w:style w:type="character" w:customStyle="1" w:styleId="TekstpodstawowyZnak">
    <w:name w:val="Tekst podstawowy Znak"/>
    <w:basedOn w:val="Domylnaczcionkaakapitu"/>
    <w:link w:val="Tekstpodstawowy"/>
    <w:uiPriority w:val="99"/>
    <w:semiHidden/>
    <w:rsid w:val="001229F3"/>
    <w:rPr>
      <w:rFonts w:ascii="Times New Roman" w:eastAsia="Times New Roman" w:hAnsi="Times New Roman" w:cs="Times New Roman"/>
      <w:sz w:val="24"/>
      <w:szCs w:val="24"/>
      <w:lang w:eastAsia="pl-PL"/>
    </w:rPr>
  </w:style>
  <w:style w:type="paragraph" w:styleId="Tekstprzypisudolnego">
    <w:name w:val="footnote text"/>
    <w:aliases w:val="FA,FA Fußnotentext,Podrozdział,Podrozdzia3,Footnote,Schriftart: 9 pt,Schriftart: 10 pt,Schriftart: 8 pt,o,Footnote text,Tekst przypisu Znak Znak Znak Znak,Tekst przypisu Znak Znak Znak Znak Znak Char,fußn,Fußnote"/>
    <w:basedOn w:val="Normalny"/>
    <w:link w:val="TekstprzypisudolnegoZnak"/>
    <w:qFormat/>
    <w:rsid w:val="001C66D3"/>
    <w:rPr>
      <w:sz w:val="20"/>
      <w:szCs w:val="20"/>
    </w:rPr>
  </w:style>
  <w:style w:type="character" w:customStyle="1" w:styleId="TekstprzypisudolnegoZnak">
    <w:name w:val="Tekst przypisu dolnego Znak"/>
    <w:aliases w:val="FA Znak,FA Fußnotentext Znak,Podrozdział Znak,Podrozdzia3 Znak,Footnote Znak,Schriftart: 9 pt Znak,Schriftart: 10 pt Znak,Schriftart: 8 pt Znak,o Znak,Footnote text Znak,Tekst przypisu Znak Znak Znak Znak Znak,fußn Znak"/>
    <w:basedOn w:val="Domylnaczcionkaakapitu"/>
    <w:link w:val="Tekstprzypisudolnego"/>
    <w:rsid w:val="001C66D3"/>
    <w:rPr>
      <w:rFonts w:ascii="Times New Roman" w:eastAsia="Times New Roman" w:hAnsi="Times New Roman" w:cs="Times New Roman"/>
      <w:sz w:val="20"/>
      <w:szCs w:val="20"/>
      <w:lang w:eastAsia="pl-PL"/>
    </w:rPr>
  </w:style>
  <w:style w:type="character" w:styleId="Odwoanieprzypisudolnego">
    <w:name w:val="footnote reference"/>
    <w:aliases w:val="ewa,Footnote Reference Number,Odwołanie przypisu Znak Znak,Odwołanie przypisu,Odwo3anie przypisu,SUPERS,Odsy³acz przypisu dolnego 1,Odsy3acz przypisu dolnego 1,Odsyłacz przypisu dolnego 1,FZ,Footnote symbol,Voetnootverwijzing"/>
    <w:uiPriority w:val="99"/>
    <w:rsid w:val="001C66D3"/>
    <w:rPr>
      <w:vertAlign w:val="superscript"/>
    </w:rPr>
  </w:style>
  <w:style w:type="paragraph" w:styleId="Tekstkomentarza">
    <w:name w:val="annotation text"/>
    <w:basedOn w:val="Normalny"/>
    <w:link w:val="TekstkomentarzaZnak"/>
    <w:uiPriority w:val="99"/>
    <w:unhideWhenUsed/>
    <w:rsid w:val="001C66D3"/>
    <w:pPr>
      <w:jc w:val="both"/>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rsid w:val="001C66D3"/>
    <w:rPr>
      <w:sz w:val="20"/>
      <w:szCs w:val="20"/>
    </w:rPr>
  </w:style>
  <w:style w:type="character" w:styleId="Odwoaniedokomentarza">
    <w:name w:val="annotation reference"/>
    <w:basedOn w:val="Domylnaczcionkaakapitu"/>
    <w:uiPriority w:val="99"/>
    <w:semiHidden/>
    <w:unhideWhenUsed/>
    <w:rsid w:val="001C66D3"/>
    <w:rPr>
      <w:sz w:val="16"/>
      <w:szCs w:val="16"/>
    </w:rPr>
  </w:style>
  <w:style w:type="paragraph" w:styleId="Akapitzlist">
    <w:name w:val="List Paragraph"/>
    <w:basedOn w:val="Normalny"/>
    <w:qFormat/>
    <w:rsid w:val="00BD49EE"/>
    <w:pPr>
      <w:ind w:left="720"/>
      <w:contextualSpacing/>
      <w:jc w:val="both"/>
    </w:pPr>
    <w:rPr>
      <w:rFonts w:eastAsia="Calibri"/>
      <w:szCs w:val="22"/>
      <w:lang w:eastAsia="en-US"/>
    </w:rPr>
  </w:style>
  <w:style w:type="character" w:styleId="HTML-cytat">
    <w:name w:val="HTML Cite"/>
    <w:semiHidden/>
    <w:rsid w:val="00BD49EE"/>
    <w:rPr>
      <w:rFonts w:cs="Times New Roman"/>
      <w:i/>
    </w:rPr>
  </w:style>
  <w:style w:type="character" w:customStyle="1" w:styleId="Nagwek2Znak">
    <w:name w:val="Nagłówek 2 Znak"/>
    <w:basedOn w:val="Domylnaczcionkaakapitu"/>
    <w:link w:val="Nagwek2"/>
    <w:rsid w:val="00BD49EE"/>
    <w:rPr>
      <w:rFonts w:ascii="Times New Roman" w:eastAsiaTheme="majorEastAsia" w:hAnsi="Times New Roman" w:cstheme="majorBidi"/>
      <w:b/>
      <w:bCs/>
      <w:szCs w:val="26"/>
    </w:rPr>
  </w:style>
  <w:style w:type="paragraph" w:styleId="Nagwek">
    <w:name w:val="header"/>
    <w:basedOn w:val="Normalny"/>
    <w:link w:val="NagwekZnak"/>
    <w:uiPriority w:val="99"/>
    <w:unhideWhenUsed/>
    <w:rsid w:val="00EC222B"/>
    <w:pPr>
      <w:tabs>
        <w:tab w:val="center" w:pos="4536"/>
        <w:tab w:val="right" w:pos="9072"/>
      </w:tabs>
    </w:pPr>
  </w:style>
  <w:style w:type="character" w:customStyle="1" w:styleId="NagwekZnak">
    <w:name w:val="Nagłówek Znak"/>
    <w:basedOn w:val="Domylnaczcionkaakapitu"/>
    <w:link w:val="Nagwek"/>
    <w:uiPriority w:val="99"/>
    <w:rsid w:val="00EC222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C222B"/>
    <w:pPr>
      <w:tabs>
        <w:tab w:val="center" w:pos="4536"/>
        <w:tab w:val="right" w:pos="9072"/>
      </w:tabs>
    </w:pPr>
  </w:style>
  <w:style w:type="character" w:customStyle="1" w:styleId="StopkaZnak">
    <w:name w:val="Stopka Znak"/>
    <w:basedOn w:val="Domylnaczcionkaakapitu"/>
    <w:link w:val="Stopka"/>
    <w:uiPriority w:val="99"/>
    <w:rsid w:val="00EC222B"/>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9</Pages>
  <Words>2652</Words>
  <Characters>19646</Characters>
  <Application>Microsoft Office Word</Application>
  <DocSecurity>0</DocSecurity>
  <Lines>305</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Horosz</dc:creator>
  <cp:keywords/>
  <dc:description/>
  <cp:lastModifiedBy>Piotr Horosz</cp:lastModifiedBy>
  <cp:revision>9</cp:revision>
  <dcterms:created xsi:type="dcterms:W3CDTF">2021-03-01T12:57:00Z</dcterms:created>
  <dcterms:modified xsi:type="dcterms:W3CDTF">2022-02-03T10:24:00Z</dcterms:modified>
</cp:coreProperties>
</file>