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D1E" w:rsidRPr="00A461E1" w:rsidRDefault="00A32DE2" w:rsidP="00A461E1">
      <w:pPr>
        <w:pStyle w:val="StylTekstpodstawowyInterlinia15wiersza"/>
        <w:jc w:val="center"/>
        <w:rPr>
          <w:b/>
          <w:bCs/>
          <w:caps/>
          <w:color w:val="000000"/>
          <w:sz w:val="28"/>
          <w:szCs w:val="28"/>
        </w:rPr>
      </w:pPr>
      <w:r w:rsidRPr="00A461E1">
        <w:rPr>
          <w:b/>
          <w:bCs/>
          <w:caps/>
          <w:color w:val="000000"/>
          <w:sz w:val="28"/>
          <w:szCs w:val="28"/>
        </w:rPr>
        <w:t>Prawo upA</w:t>
      </w:r>
      <w:r w:rsidR="00335D1E" w:rsidRPr="00A461E1">
        <w:rPr>
          <w:b/>
          <w:bCs/>
          <w:caps/>
          <w:color w:val="000000"/>
          <w:sz w:val="28"/>
          <w:szCs w:val="28"/>
        </w:rPr>
        <w:t>dłościowe</w:t>
      </w:r>
    </w:p>
    <w:p w:rsidR="006C2400" w:rsidRPr="00A461E1" w:rsidRDefault="006C2400" w:rsidP="00A461E1">
      <w:pPr>
        <w:pStyle w:val="StylTekstpodstawowyInterlinia15wiersza"/>
        <w:jc w:val="center"/>
        <w:rPr>
          <w:color w:val="000000"/>
          <w:sz w:val="28"/>
          <w:szCs w:val="28"/>
        </w:rPr>
      </w:pPr>
    </w:p>
    <w:p w:rsidR="00FE4679" w:rsidRPr="00EC107A" w:rsidRDefault="00EC107A" w:rsidP="00EC107A">
      <w:pPr>
        <w:pStyle w:val="Tekstpodstawowywcity"/>
        <w:numPr>
          <w:ilvl w:val="0"/>
          <w:numId w:val="43"/>
        </w:numPr>
        <w:spacing w:after="0" w:line="360" w:lineRule="auto"/>
        <w:jc w:val="both"/>
        <w:rPr>
          <w:b/>
        </w:rPr>
      </w:pPr>
      <w:r w:rsidRPr="00EC107A">
        <w:rPr>
          <w:b/>
          <w:color w:val="000000"/>
        </w:rPr>
        <w:t xml:space="preserve">Zagadnienia ogólne </w:t>
      </w:r>
    </w:p>
    <w:p w:rsidR="00EC107A" w:rsidRPr="00EC107A" w:rsidRDefault="00EC107A" w:rsidP="00EC107A">
      <w:pPr>
        <w:pStyle w:val="Tekstpodstawowywcity"/>
        <w:spacing w:after="0" w:line="360" w:lineRule="auto"/>
        <w:ind w:left="720"/>
        <w:jc w:val="both"/>
      </w:pPr>
    </w:p>
    <w:p w:rsidR="006C2400" w:rsidRPr="00EC107A" w:rsidRDefault="00FE4679" w:rsidP="00EC107A">
      <w:pPr>
        <w:pStyle w:val="Tekstpodstawowywcity"/>
        <w:spacing w:after="0" w:line="360" w:lineRule="auto"/>
        <w:ind w:left="0"/>
        <w:jc w:val="both"/>
      </w:pPr>
      <w:r w:rsidRPr="00EC107A">
        <w:tab/>
      </w:r>
      <w:r w:rsidR="00335D1E" w:rsidRPr="00EC107A">
        <w:t>P</w:t>
      </w:r>
      <w:r w:rsidRPr="00EC107A">
        <w:t>odstawowe regulacje prawne dotyczące</w:t>
      </w:r>
      <w:r w:rsidR="00335D1E" w:rsidRPr="00EC107A">
        <w:t xml:space="preserve"> postępowania w wypadku niewypłacalności przedsiębiorcy lub jego zagrożenia niewypłacalnością – a zatem dotyczące </w:t>
      </w:r>
      <w:r w:rsidRPr="00EC107A">
        <w:t>postępowania upadłościowego</w:t>
      </w:r>
      <w:r w:rsidR="00335D1E" w:rsidRPr="00EC107A">
        <w:t xml:space="preserve"> i </w:t>
      </w:r>
      <w:r w:rsidR="00B674C1" w:rsidRPr="00EC107A">
        <w:t xml:space="preserve">postępowań </w:t>
      </w:r>
      <w:r w:rsidR="00A461E1">
        <w:t xml:space="preserve">restrukturyzacyjnych </w:t>
      </w:r>
      <w:r w:rsidR="00B674C1" w:rsidRPr="00EC107A">
        <w:t>zawarte zostały w dwóch ustawach:</w:t>
      </w:r>
    </w:p>
    <w:p w:rsidR="00B674C1" w:rsidRPr="00EC107A" w:rsidRDefault="00B674C1" w:rsidP="00EC107A">
      <w:pPr>
        <w:pStyle w:val="Tekstpodstawowywcity"/>
        <w:numPr>
          <w:ilvl w:val="0"/>
          <w:numId w:val="33"/>
        </w:numPr>
        <w:spacing w:after="0" w:line="360" w:lineRule="auto"/>
        <w:jc w:val="both"/>
        <w:rPr>
          <w:snapToGrid w:val="0"/>
          <w:color w:val="000000"/>
        </w:rPr>
      </w:pPr>
      <w:r w:rsidRPr="00EC107A">
        <w:t>ustawie</w:t>
      </w:r>
      <w:r w:rsidR="00FE4679" w:rsidRPr="00EC107A">
        <w:t xml:space="preserve"> z dnia 28 lutego 2003 r. Prawo upadłościowe </w:t>
      </w:r>
      <w:r w:rsidRPr="00EC107A">
        <w:t>(dalej oznaczanej przy pomocy</w:t>
      </w:r>
      <w:r w:rsidR="00FE4679" w:rsidRPr="00EC107A">
        <w:t xml:space="preserve"> skrót</w:t>
      </w:r>
      <w:r w:rsidRPr="00EC107A">
        <w:t>u PU)</w:t>
      </w:r>
    </w:p>
    <w:p w:rsidR="00A461E1" w:rsidRDefault="00B674C1" w:rsidP="00A461E1">
      <w:pPr>
        <w:pStyle w:val="Tekstpodstawowywcity"/>
        <w:numPr>
          <w:ilvl w:val="0"/>
          <w:numId w:val="33"/>
        </w:numPr>
        <w:spacing w:after="0" w:line="360" w:lineRule="auto"/>
        <w:ind w:left="426" w:firstLine="0"/>
        <w:jc w:val="both"/>
      </w:pPr>
      <w:r w:rsidRPr="00EC107A">
        <w:t xml:space="preserve">ustawie z dnia 15 maja 2015 r. Prawo restrukturyzacyjne </w:t>
      </w:r>
    </w:p>
    <w:p w:rsidR="00B674C1" w:rsidRPr="00EC107A" w:rsidRDefault="00B674C1" w:rsidP="00A461E1">
      <w:pPr>
        <w:pStyle w:val="Tekstpodstawowywcity"/>
        <w:spacing w:after="0" w:line="360" w:lineRule="auto"/>
        <w:ind w:left="0"/>
        <w:jc w:val="both"/>
      </w:pPr>
      <w:r w:rsidRPr="00EC107A">
        <w:t>Zakres regulacji PU</w:t>
      </w:r>
      <w:r w:rsidR="00FE4679" w:rsidRPr="00EC107A">
        <w:t xml:space="preserve"> obejmuje</w:t>
      </w:r>
      <w:r w:rsidRPr="00EC107A">
        <w:t>:</w:t>
      </w:r>
    </w:p>
    <w:p w:rsidR="00B674C1" w:rsidRPr="00EC107A" w:rsidRDefault="00FE4679" w:rsidP="00EC107A">
      <w:pPr>
        <w:pStyle w:val="Tekstpodstawowywcity"/>
        <w:numPr>
          <w:ilvl w:val="0"/>
          <w:numId w:val="34"/>
        </w:numPr>
        <w:spacing w:after="0" w:line="360" w:lineRule="auto"/>
        <w:jc w:val="both"/>
        <w:rPr>
          <w:snapToGrid w:val="0"/>
          <w:color w:val="000000"/>
        </w:rPr>
      </w:pPr>
      <w:r w:rsidRPr="00EC107A">
        <w:t xml:space="preserve"> </w:t>
      </w:r>
      <w:r w:rsidRPr="00EC107A">
        <w:rPr>
          <w:snapToGrid w:val="0"/>
          <w:color w:val="000000"/>
        </w:rPr>
        <w:t>zasady wspólnego dochodzenia roszczeń wierzycieli od niewypłacalnych dłużników</w:t>
      </w:r>
      <w:r w:rsidR="00B674C1" w:rsidRPr="00EC107A">
        <w:rPr>
          <w:snapToGrid w:val="0"/>
          <w:color w:val="000000"/>
        </w:rPr>
        <w:t xml:space="preserve"> będących przedsiębiorcami</w:t>
      </w:r>
      <w:r w:rsidRPr="00EC107A">
        <w:rPr>
          <w:snapToGrid w:val="0"/>
          <w:color w:val="000000"/>
        </w:rPr>
        <w:t>,</w:t>
      </w:r>
    </w:p>
    <w:p w:rsidR="00090A93" w:rsidRPr="00EC107A" w:rsidRDefault="00090A93" w:rsidP="00EC107A">
      <w:pPr>
        <w:pStyle w:val="Tekstpodstawowywcity"/>
        <w:numPr>
          <w:ilvl w:val="0"/>
          <w:numId w:val="34"/>
        </w:numPr>
        <w:spacing w:after="0" w:line="360" w:lineRule="auto"/>
        <w:jc w:val="both"/>
        <w:rPr>
          <w:snapToGrid w:val="0"/>
          <w:color w:val="000000"/>
        </w:rPr>
      </w:pPr>
      <w:r w:rsidRPr="00EC107A">
        <w:rPr>
          <w:snapToGrid w:val="0"/>
          <w:color w:val="000000"/>
        </w:rPr>
        <w:t>zasady dochodzenia roszczeń od niewypłacalnych dłużników będących osobami fizycznymi nieprowadzącymi działalności gospodarczej (tzw. upadłość konsumencka),</w:t>
      </w:r>
    </w:p>
    <w:p w:rsidR="00090A93" w:rsidRPr="00EC107A" w:rsidRDefault="00FE4679" w:rsidP="00EC107A">
      <w:pPr>
        <w:pStyle w:val="Tekstpodstawowywcity"/>
        <w:numPr>
          <w:ilvl w:val="0"/>
          <w:numId w:val="34"/>
        </w:numPr>
        <w:spacing w:after="0" w:line="360" w:lineRule="auto"/>
        <w:jc w:val="both"/>
        <w:rPr>
          <w:snapToGrid w:val="0"/>
          <w:color w:val="000000"/>
        </w:rPr>
      </w:pPr>
      <w:r w:rsidRPr="00EC107A">
        <w:rPr>
          <w:snapToGrid w:val="0"/>
          <w:color w:val="000000"/>
        </w:rPr>
        <w:t>skutki ogłoszenie upadłości</w:t>
      </w:r>
      <w:r w:rsidR="00090A93" w:rsidRPr="00EC107A">
        <w:rPr>
          <w:snapToGrid w:val="0"/>
          <w:color w:val="000000"/>
        </w:rPr>
        <w:t>,</w:t>
      </w:r>
    </w:p>
    <w:p w:rsidR="00090A93" w:rsidRPr="00A461E1" w:rsidRDefault="00090A93" w:rsidP="00A461E1">
      <w:pPr>
        <w:pStyle w:val="Tekstpodstawowywcity"/>
        <w:numPr>
          <w:ilvl w:val="0"/>
          <w:numId w:val="34"/>
        </w:numPr>
        <w:spacing w:after="0" w:line="360" w:lineRule="auto"/>
        <w:jc w:val="both"/>
        <w:rPr>
          <w:snapToGrid w:val="0"/>
          <w:color w:val="000000"/>
        </w:rPr>
      </w:pPr>
      <w:r w:rsidRPr="00EC107A">
        <w:rPr>
          <w:snapToGrid w:val="0"/>
          <w:color w:val="000000"/>
        </w:rPr>
        <w:t>zasady umarzania zobowiązań upadłego będącego osobą fizyczną.</w:t>
      </w:r>
    </w:p>
    <w:p w:rsidR="00241026" w:rsidRPr="00EC107A" w:rsidRDefault="00A461E1" w:rsidP="00EC107A">
      <w:pPr>
        <w:pStyle w:val="Tekstpodstawowywcity"/>
        <w:spacing w:after="0" w:line="360" w:lineRule="auto"/>
        <w:ind w:left="0"/>
        <w:jc w:val="both"/>
      </w:pPr>
      <w:r>
        <w:rPr>
          <w:snapToGrid w:val="0"/>
          <w:color w:val="000000"/>
        </w:rPr>
        <w:tab/>
        <w:t>Po wejściu w życie przepisów ustawy Prawo restrukturyzacyjne</w:t>
      </w:r>
      <w:r w:rsidR="00090A93" w:rsidRPr="00EC107A">
        <w:rPr>
          <w:snapToGrid w:val="0"/>
          <w:color w:val="000000"/>
        </w:rPr>
        <w:t>, z zakresu regulowanego przepisami PU zostały natomiast wyłączone kwestie dotyczące prowadzenia</w:t>
      </w:r>
      <w:r w:rsidR="00FE4679" w:rsidRPr="00EC107A">
        <w:rPr>
          <w:snapToGrid w:val="0"/>
          <w:color w:val="000000"/>
        </w:rPr>
        <w:t xml:space="preserve"> postępowania naprawczego wobec przedsiębiorców zagrodzonych niewypłacalnością.</w:t>
      </w:r>
      <w:r w:rsidR="00090A93" w:rsidRPr="00EC107A">
        <w:rPr>
          <w:snapToGrid w:val="0"/>
          <w:color w:val="000000"/>
        </w:rPr>
        <w:t xml:space="preserve"> Przepisy PU regulują zatem obecnie jeden </w:t>
      </w:r>
      <w:r w:rsidR="00090A93" w:rsidRPr="00EC107A">
        <w:t>rodzaj postępowania</w:t>
      </w:r>
      <w:r w:rsidR="00FE4679" w:rsidRPr="00EC107A">
        <w:t xml:space="preserve"> – </w:t>
      </w:r>
      <w:r w:rsidR="00FE4679" w:rsidRPr="00EC107A">
        <w:rPr>
          <w:b/>
        </w:rPr>
        <w:t xml:space="preserve">postępowanie upadłościowe </w:t>
      </w:r>
      <w:r w:rsidR="00FE4679" w:rsidRPr="00EC107A">
        <w:t xml:space="preserve">prowadzone </w:t>
      </w:r>
      <w:r w:rsidR="00090A93" w:rsidRPr="00EC107A">
        <w:t xml:space="preserve">z zasady </w:t>
      </w:r>
      <w:r w:rsidR="00FE4679" w:rsidRPr="00EC107A">
        <w:t>w stosunku do dłużników niewypłacalnych</w:t>
      </w:r>
      <w:r w:rsidR="006C2400" w:rsidRPr="00EC107A">
        <w:t>.</w:t>
      </w:r>
      <w:r w:rsidR="00241026" w:rsidRPr="00EC107A">
        <w:t xml:space="preserve"> Wyróżnić można następujące rodzaje postępowania upadłościowego:</w:t>
      </w:r>
    </w:p>
    <w:p w:rsidR="00241026" w:rsidRPr="00EC107A" w:rsidRDefault="00241026" w:rsidP="00EC107A">
      <w:pPr>
        <w:pStyle w:val="Tekstpodstawowywcity"/>
        <w:numPr>
          <w:ilvl w:val="0"/>
          <w:numId w:val="36"/>
        </w:numPr>
        <w:spacing w:after="0" w:line="360" w:lineRule="auto"/>
        <w:jc w:val="both"/>
      </w:pPr>
      <w:r w:rsidRPr="00EC107A">
        <w:t>Postępowanie ogólne,</w:t>
      </w:r>
    </w:p>
    <w:p w:rsidR="00241026" w:rsidRPr="00EC107A" w:rsidRDefault="00241026" w:rsidP="00EC107A">
      <w:pPr>
        <w:pStyle w:val="Tekstpodstawowywcity"/>
        <w:numPr>
          <w:ilvl w:val="0"/>
          <w:numId w:val="36"/>
        </w:numPr>
        <w:spacing w:after="0" w:line="360" w:lineRule="auto"/>
        <w:jc w:val="both"/>
      </w:pPr>
      <w:r w:rsidRPr="00EC107A">
        <w:t>Postępowania odrębne:</w:t>
      </w:r>
    </w:p>
    <w:p w:rsidR="00241026" w:rsidRPr="00EC107A" w:rsidRDefault="00241026" w:rsidP="00EC107A">
      <w:pPr>
        <w:pStyle w:val="Tekstpodstawowywcity"/>
        <w:numPr>
          <w:ilvl w:val="0"/>
          <w:numId w:val="37"/>
        </w:numPr>
        <w:spacing w:after="0" w:line="360" w:lineRule="auto"/>
        <w:jc w:val="both"/>
      </w:pPr>
      <w:r w:rsidRPr="00EC107A">
        <w:t>wszczęte po śmierci niewypłacalnego dłużnika,</w:t>
      </w:r>
    </w:p>
    <w:p w:rsidR="00241026" w:rsidRPr="00EC107A" w:rsidRDefault="00241026" w:rsidP="00EC107A">
      <w:pPr>
        <w:pStyle w:val="Tekstpodstawowywcity"/>
        <w:numPr>
          <w:ilvl w:val="0"/>
          <w:numId w:val="37"/>
        </w:numPr>
        <w:spacing w:after="0" w:line="360" w:lineRule="auto"/>
        <w:jc w:val="both"/>
      </w:pPr>
      <w:r w:rsidRPr="00EC107A">
        <w:t>wobec deweloperów,</w:t>
      </w:r>
    </w:p>
    <w:p w:rsidR="00241026" w:rsidRPr="00EC107A" w:rsidRDefault="00241026" w:rsidP="00EC107A">
      <w:pPr>
        <w:pStyle w:val="Tekstpodstawowywcity"/>
        <w:numPr>
          <w:ilvl w:val="0"/>
          <w:numId w:val="37"/>
        </w:numPr>
        <w:spacing w:after="0" w:line="360" w:lineRule="auto"/>
        <w:jc w:val="both"/>
      </w:pPr>
      <w:r w:rsidRPr="00EC107A">
        <w:t>wobec banków i SKOK-ów,</w:t>
      </w:r>
    </w:p>
    <w:p w:rsidR="00241026" w:rsidRPr="00EC107A" w:rsidRDefault="00241026" w:rsidP="00EC107A">
      <w:pPr>
        <w:pStyle w:val="Tekstpodstawowywcity"/>
        <w:numPr>
          <w:ilvl w:val="0"/>
          <w:numId w:val="37"/>
        </w:numPr>
        <w:spacing w:after="0" w:line="360" w:lineRule="auto"/>
        <w:jc w:val="both"/>
      </w:pPr>
      <w:r w:rsidRPr="00EC107A">
        <w:t>wobec zakładów ubezpieczeń i reasekuracji,</w:t>
      </w:r>
    </w:p>
    <w:p w:rsidR="00241026" w:rsidRPr="00EC107A" w:rsidRDefault="00241026" w:rsidP="00EC107A">
      <w:pPr>
        <w:pStyle w:val="Tekstpodstawowywcity"/>
        <w:numPr>
          <w:ilvl w:val="0"/>
          <w:numId w:val="37"/>
        </w:numPr>
        <w:spacing w:after="0" w:line="360" w:lineRule="auto"/>
        <w:jc w:val="both"/>
      </w:pPr>
      <w:r w:rsidRPr="00EC107A">
        <w:t>wobec emitentów obligacji,</w:t>
      </w:r>
    </w:p>
    <w:p w:rsidR="00241026" w:rsidRPr="00EC107A" w:rsidRDefault="00241026" w:rsidP="00EC107A">
      <w:pPr>
        <w:pStyle w:val="Tekstpodstawowywcity"/>
        <w:numPr>
          <w:ilvl w:val="0"/>
          <w:numId w:val="37"/>
        </w:numPr>
        <w:spacing w:after="0" w:line="360" w:lineRule="auto"/>
        <w:jc w:val="both"/>
      </w:pPr>
      <w:r w:rsidRPr="00EC107A">
        <w:t>wobec osób fizycznych nieprowadzących działalności gospodarczej.</w:t>
      </w:r>
    </w:p>
    <w:p w:rsidR="00241026" w:rsidRPr="00EC107A" w:rsidRDefault="00241026" w:rsidP="00EC107A">
      <w:pPr>
        <w:pStyle w:val="Tekstpodstawowywcity"/>
        <w:spacing w:after="0" w:line="360" w:lineRule="auto"/>
        <w:ind w:left="0"/>
        <w:jc w:val="both"/>
      </w:pPr>
    </w:p>
    <w:p w:rsidR="00063E3B" w:rsidRPr="00EC107A" w:rsidRDefault="00241026" w:rsidP="00EC107A">
      <w:pPr>
        <w:pStyle w:val="Tekstpodstawowywcity"/>
        <w:spacing w:after="0" w:line="360" w:lineRule="auto"/>
        <w:ind w:left="0"/>
        <w:jc w:val="both"/>
        <w:rPr>
          <w:snapToGrid w:val="0"/>
          <w:color w:val="000000"/>
        </w:rPr>
      </w:pPr>
      <w:bookmarkStart w:id="0" w:name="_Toc129492964"/>
      <w:r w:rsidRPr="00EC107A">
        <w:rPr>
          <w:snapToGrid w:val="0"/>
        </w:rPr>
        <w:lastRenderedPageBreak/>
        <w:tab/>
      </w:r>
      <w:r w:rsidR="00063E3B" w:rsidRPr="00EC107A">
        <w:rPr>
          <w:snapToGrid w:val="0"/>
        </w:rPr>
        <w:t xml:space="preserve">Podkreślić należy, że </w:t>
      </w:r>
      <w:r w:rsidR="00063E3B" w:rsidRPr="00EC107A">
        <w:rPr>
          <w:b/>
          <w:snapToGrid w:val="0"/>
        </w:rPr>
        <w:t>podstawowym celem postępowania upadłościowego jest zaspokojenie wierzycieli, a nie utrzymanie przedsiębiorstwa dłużnika</w:t>
      </w:r>
      <w:r w:rsidR="00063E3B" w:rsidRPr="00EC107A">
        <w:rPr>
          <w:snapToGrid w:val="0"/>
        </w:rPr>
        <w:t xml:space="preserve">. Wynika to z art. 2 </w:t>
      </w:r>
      <w:r w:rsidR="00933C0E" w:rsidRPr="00EC107A">
        <w:rPr>
          <w:snapToGrid w:val="0"/>
        </w:rPr>
        <w:t xml:space="preserve">ust. 1 </w:t>
      </w:r>
      <w:proofErr w:type="spellStart"/>
      <w:r w:rsidR="00063E3B" w:rsidRPr="00EC107A">
        <w:rPr>
          <w:snapToGrid w:val="0"/>
        </w:rPr>
        <w:t>PrUiN</w:t>
      </w:r>
      <w:proofErr w:type="spellEnd"/>
      <w:r w:rsidR="00063E3B" w:rsidRPr="00EC107A">
        <w:rPr>
          <w:snapToGrid w:val="0"/>
        </w:rPr>
        <w:t xml:space="preserve">, zgodnie z którym </w:t>
      </w:r>
      <w:r w:rsidR="00063E3B" w:rsidRPr="00EC107A">
        <w:rPr>
          <w:b/>
          <w:snapToGrid w:val="0"/>
        </w:rPr>
        <w:t>postępowania nią uregulowane należy prowadzić w tak, aby roszczenia wierzycieli zostały zaspokojone w jak najwyższym stopniu, a jeśli racjonalne względy na to pozwolą – dotychczasowe przedsiębiorstwo dłużnika zostało zachowane</w:t>
      </w:r>
      <w:r w:rsidR="00063E3B" w:rsidRPr="00EC107A">
        <w:rPr>
          <w:snapToGrid w:val="0"/>
        </w:rPr>
        <w:t>.</w:t>
      </w:r>
      <w:bookmarkEnd w:id="0"/>
      <w:r w:rsidR="00063E3B" w:rsidRPr="00EC107A">
        <w:rPr>
          <w:snapToGrid w:val="0"/>
          <w:color w:val="000000"/>
        </w:rPr>
        <w:t xml:space="preserve"> </w:t>
      </w:r>
      <w:r w:rsidR="00933C0E" w:rsidRPr="00EC107A">
        <w:rPr>
          <w:snapToGrid w:val="0"/>
          <w:color w:val="000000"/>
        </w:rPr>
        <w:t xml:space="preserve">Jedynie w przypadku </w:t>
      </w:r>
      <w:r w:rsidR="00933C0E" w:rsidRPr="00EC107A">
        <w:t xml:space="preserve">postępowania </w:t>
      </w:r>
      <w:r w:rsidR="00933C0E" w:rsidRPr="00EC107A">
        <w:rPr>
          <w:b/>
        </w:rPr>
        <w:t>wobec osób fizycznych</w:t>
      </w:r>
      <w:r w:rsidR="00933C0E" w:rsidRPr="00EC107A">
        <w:t xml:space="preserve"> należy je, z mocy art. 2 ust. 2 PU, prowadzić </w:t>
      </w:r>
      <w:r w:rsidR="00933C0E" w:rsidRPr="00EC107A">
        <w:rPr>
          <w:b/>
        </w:rPr>
        <w:t>tak, aby umożliwić umorzenie zobowiązań upadłego niewykonanych w postępowaniu upadłościowym, a jeśli jest to możliwe – zaspokoić roszczenia wierzycieli w jak najwyższym stopniu</w:t>
      </w:r>
      <w:r w:rsidR="00933C0E" w:rsidRPr="00EC107A">
        <w:t>.</w:t>
      </w:r>
    </w:p>
    <w:p w:rsidR="00090A93" w:rsidRPr="00EC107A" w:rsidRDefault="00063E3B" w:rsidP="00A461E1">
      <w:pPr>
        <w:pStyle w:val="Tekstpodstawowywcity"/>
        <w:spacing w:after="0" w:line="360" w:lineRule="auto"/>
        <w:ind w:left="0"/>
        <w:jc w:val="both"/>
        <w:rPr>
          <w:snapToGrid w:val="0"/>
          <w:color w:val="000000"/>
        </w:rPr>
      </w:pPr>
      <w:r w:rsidRPr="00EC107A">
        <w:rPr>
          <w:snapToGrid w:val="0"/>
          <w:color w:val="000000"/>
        </w:rPr>
        <w:tab/>
        <w:t>Przepisy PU stosuje się przede wszystkim do wszystkich dłużników będących przedsiębiorcami. Na mocy przepisów szczególnych dopuszczalna jest również</w:t>
      </w:r>
      <w:r w:rsidR="00933C0E" w:rsidRPr="00EC107A">
        <w:rPr>
          <w:snapToGrid w:val="0"/>
          <w:color w:val="000000"/>
        </w:rPr>
        <w:t>, jak zaznaczono,</w:t>
      </w:r>
      <w:r w:rsidRPr="00EC107A">
        <w:rPr>
          <w:snapToGrid w:val="0"/>
          <w:color w:val="000000"/>
        </w:rPr>
        <w:t xml:space="preserve"> upadłość osób fizycznych nie prowadzących działalności gospodarczej – tzw. </w:t>
      </w:r>
      <w:r w:rsidRPr="00EC107A">
        <w:rPr>
          <w:b/>
          <w:snapToGrid w:val="0"/>
          <w:color w:val="000000"/>
        </w:rPr>
        <w:t>upadłość konsumencka</w:t>
      </w:r>
      <w:r w:rsidRPr="00EC107A">
        <w:rPr>
          <w:snapToGrid w:val="0"/>
          <w:color w:val="000000"/>
        </w:rPr>
        <w:t xml:space="preserve">. Warto podkreślić,  że przepisy ustawy </w:t>
      </w:r>
      <w:r w:rsidRPr="00EC107A">
        <w:rPr>
          <w:b/>
          <w:snapToGrid w:val="0"/>
          <w:color w:val="000000"/>
        </w:rPr>
        <w:t>stosuje się również do spółek z ograniczoną odpowiedzialnością i spółek akcyjnych nieprowadzących działalności gospodarczej</w:t>
      </w:r>
      <w:r w:rsidRPr="00EC107A">
        <w:rPr>
          <w:snapToGrid w:val="0"/>
          <w:color w:val="000000"/>
        </w:rPr>
        <w:t xml:space="preserve"> – zdolność upadłościową posiadają zatem </w:t>
      </w:r>
      <w:r w:rsidRPr="00EC107A">
        <w:rPr>
          <w:b/>
          <w:snapToGrid w:val="0"/>
          <w:color w:val="000000"/>
        </w:rPr>
        <w:t>wszystkie spółki prawa handlowego</w:t>
      </w:r>
      <w:r w:rsidRPr="00EC107A">
        <w:rPr>
          <w:snapToGrid w:val="0"/>
          <w:color w:val="000000"/>
        </w:rPr>
        <w:t xml:space="preserve">. Posiadają ja również </w:t>
      </w:r>
      <w:r w:rsidRPr="00EC107A">
        <w:rPr>
          <w:b/>
          <w:snapToGrid w:val="0"/>
          <w:color w:val="000000"/>
        </w:rPr>
        <w:t>wspólnicy osobowych spółek handlowych</w:t>
      </w:r>
      <w:r w:rsidRPr="00EC107A">
        <w:rPr>
          <w:snapToGrid w:val="0"/>
          <w:color w:val="000000"/>
        </w:rPr>
        <w:t xml:space="preserve"> – ale wyłącznie ci, </w:t>
      </w:r>
      <w:r w:rsidRPr="00EC107A">
        <w:rPr>
          <w:b/>
          <w:snapToGrid w:val="0"/>
          <w:color w:val="000000"/>
        </w:rPr>
        <w:t xml:space="preserve">którzy ponoszą </w:t>
      </w:r>
      <w:r w:rsidR="0055795B" w:rsidRPr="00EC107A">
        <w:rPr>
          <w:b/>
          <w:snapToGrid w:val="0"/>
          <w:color w:val="000000"/>
        </w:rPr>
        <w:t xml:space="preserve">za zobowiązania spółki odpowiedzialność </w:t>
      </w:r>
      <w:r w:rsidRPr="00EC107A">
        <w:rPr>
          <w:b/>
          <w:snapToGrid w:val="0"/>
          <w:color w:val="000000"/>
        </w:rPr>
        <w:t>nieograniczoną</w:t>
      </w:r>
      <w:r w:rsidR="00A461E1">
        <w:rPr>
          <w:snapToGrid w:val="0"/>
          <w:color w:val="000000"/>
        </w:rPr>
        <w:t>.</w:t>
      </w:r>
    </w:p>
    <w:p w:rsidR="00EC107A" w:rsidRPr="00EC107A" w:rsidRDefault="00063E3B" w:rsidP="00A461E1">
      <w:pPr>
        <w:pStyle w:val="Tekstpodstawowywcity"/>
        <w:spacing w:after="0" w:line="360" w:lineRule="auto"/>
        <w:ind w:left="0"/>
        <w:jc w:val="both"/>
        <w:rPr>
          <w:color w:val="000000"/>
          <w:spacing w:val="-4"/>
        </w:rPr>
      </w:pPr>
      <w:r w:rsidRPr="00EC107A">
        <w:rPr>
          <w:color w:val="000000"/>
          <w:spacing w:val="-4"/>
        </w:rPr>
        <w:tab/>
      </w:r>
    </w:p>
    <w:p w:rsidR="00EC107A" w:rsidRPr="00EC107A" w:rsidRDefault="00EC107A" w:rsidP="00A461E1">
      <w:pPr>
        <w:pStyle w:val="Tekstpodstawowywcity"/>
        <w:spacing w:after="0" w:line="360" w:lineRule="auto"/>
        <w:jc w:val="both"/>
        <w:rPr>
          <w:b/>
          <w:bCs/>
          <w:iCs/>
          <w:color w:val="000000"/>
          <w:spacing w:val="-4"/>
        </w:rPr>
      </w:pPr>
      <w:bookmarkStart w:id="1" w:name="_Toc129492966"/>
      <w:r w:rsidRPr="00EC107A">
        <w:rPr>
          <w:b/>
          <w:bCs/>
          <w:iCs/>
          <w:color w:val="000000"/>
          <w:spacing w:val="-4"/>
        </w:rPr>
        <w:t>2. Podstawy ogłoszenia upadłości</w:t>
      </w:r>
      <w:bookmarkEnd w:id="1"/>
    </w:p>
    <w:p w:rsidR="00EC107A" w:rsidRPr="00EC107A" w:rsidRDefault="00EC107A" w:rsidP="00A461E1">
      <w:pPr>
        <w:pStyle w:val="Tekstpodstawowywcity"/>
        <w:spacing w:after="0" w:line="360" w:lineRule="auto"/>
        <w:jc w:val="both"/>
        <w:rPr>
          <w:color w:val="000000"/>
          <w:spacing w:val="-4"/>
        </w:rPr>
      </w:pPr>
    </w:p>
    <w:p w:rsidR="00EC107A" w:rsidRPr="00EC107A" w:rsidRDefault="00EC107A" w:rsidP="00EC107A">
      <w:pPr>
        <w:pStyle w:val="Tekstpodstawowywcity"/>
        <w:spacing w:after="0" w:line="360" w:lineRule="auto"/>
        <w:jc w:val="both"/>
        <w:rPr>
          <w:color w:val="000000"/>
          <w:spacing w:val="-4"/>
        </w:rPr>
      </w:pPr>
      <w:r w:rsidRPr="00EC107A">
        <w:rPr>
          <w:color w:val="000000"/>
          <w:spacing w:val="-4"/>
        </w:rPr>
        <w:tab/>
        <w:t xml:space="preserve">Zgodnie z art. 10 ustawy Prawo Upadłościowe (dalej jako PU),  upadłość ogłasza się w stosunku do dłużnika, który stał się niewypłacalny. Jedyną przesłanką wszczęcia w stosunku do podmiotu posiadającego zdolność upadłościową postępowania upadłościowego jest zatem jego niewypłacalność. Samo zagrożenie niewypłacalnością – nawet gdy jest pewne, że niewypłacalność w niedługim czasie nastąpi nie stanowi podstawy do ogłoszenia niejako „z wyprzedzeniem” upadłości dłużnika, może natomiast stanowić podstawę do wszczęcia któregoś z określonych w ustawie Prawo restrukturyzacyjne postępowań restrukturyzacyjnych. </w:t>
      </w:r>
    </w:p>
    <w:p w:rsidR="00EC107A" w:rsidRPr="00EC107A" w:rsidRDefault="00EC107A" w:rsidP="00EC107A">
      <w:pPr>
        <w:pStyle w:val="Tekstpodstawowywcity"/>
        <w:spacing w:after="0" w:line="360" w:lineRule="auto"/>
        <w:jc w:val="both"/>
        <w:rPr>
          <w:color w:val="000000"/>
          <w:spacing w:val="-4"/>
        </w:rPr>
      </w:pPr>
      <w:r w:rsidRPr="00EC107A">
        <w:rPr>
          <w:color w:val="000000"/>
          <w:spacing w:val="-4"/>
        </w:rPr>
        <w:tab/>
        <w:t xml:space="preserve">Pojęcie niewypłacalności zostało przez ustawodawcę dookreślone w art. 11 PU. Z mocy art. 11 ust. 1 PU dłużnik jest niewypłacalny, jeżeli nie wykonuje swoich wymagalnych zobowiązań pieniężnych (a zatem nie wykonuje ich w ustalonym terminie). Nie ma przy tym znaczenia wielkość zobowiązania, jego rodzaj, nie jest istotne, czy dłużnik nie wykonuje wszystkich zobowiązań, czy tylko niektórych z nich. Przedsiębiorca (i inny podmiot posiadający zdolność upadłościową), który nie wykonuje swoich wymagalnych zobowiązań pieniężnych jest w myśl przepisów PU niewypłacalny i może być w stosunku do niego </w:t>
      </w:r>
      <w:r w:rsidRPr="00EC107A">
        <w:rPr>
          <w:color w:val="000000"/>
          <w:spacing w:val="-4"/>
        </w:rPr>
        <w:lastRenderedPageBreak/>
        <w:t xml:space="preserve">ogłoszona upadłość. Stwierdzenie „nie wykonuje” wskazuje jednak, że owo nieregulowanie zobowiązań ma charakter trwały, a nie jest tylko przejściowym, przypadkowym opóźnieniem. Stąd też w art. 11 ust. 1a PU ustawodawca wprowadza domniemanie, że dłużnik utracił zdolność do wykonywania swoich wymagalnych zobowiązań pieniężnych, jeżeli opóźnienie w wykonaniu zobowiązań pieniężnych przekracza trzy miesiące. </w:t>
      </w:r>
    </w:p>
    <w:p w:rsidR="00EC107A" w:rsidRPr="00EC107A" w:rsidRDefault="00EC107A" w:rsidP="00EC107A">
      <w:pPr>
        <w:pStyle w:val="Tekstpodstawowywcity"/>
        <w:spacing w:after="0" w:line="360" w:lineRule="auto"/>
        <w:jc w:val="both"/>
        <w:rPr>
          <w:color w:val="000000"/>
          <w:spacing w:val="-4"/>
        </w:rPr>
      </w:pPr>
      <w:r w:rsidRPr="00EC107A">
        <w:rPr>
          <w:color w:val="000000"/>
          <w:spacing w:val="-4"/>
        </w:rPr>
        <w:tab/>
        <w:t>Ponadto z mocy art. 11 ust. 2 PU dłużnik będący osobą prawną albo jednostką organizacyjną nieposiadającą osobowości prawnej, której odrębna ustawa przyznaje zdolność prawną jest niewypłacalny także wtedy, gdy jego zobowiązania pieniężne przekraczają wartość jego majątku, a stan ten utrzymuje się przez okres przekraczający dwadzieścia cztery miesiące (tzw. przesłanka nadmiernego zadłużenia). W tym przypadku ustawodawca również wprowadza domniemanie prawne, stanowiąc w art. 11 ust. 5 PU, iż domniemywa się, że zobowiązania pieniężne dłużnika przekraczają wartość jego majątku, jeżeli zgodnie z bilansem jego zobowiązania, z wyłączeniem rezerw na zobowiązania oraz zobowiązań wobec jednostek powiązanych, przekraczają wartość jego aktywów, a stan ten utrzymuje się przez okres przekraczający dwadzieścia cztery miesiące. Podkreślić należy, że z mocy art. 11 ust. 7 PU przesłanka nadmiernego zadłużenia nie ma zastosowania do spółek osobowych określonych w ustawie z dnia 15 września 2000 r. – Kodeks spółek handlowych, w których co najmniej jednym wspólnikiem odpowiadającym za zobowiązania spółki bez ograniczenia całym swoim majątkiem jest osoba fizyczna.</w:t>
      </w:r>
    </w:p>
    <w:p w:rsidR="00EC107A" w:rsidRPr="00EC107A" w:rsidRDefault="00EC107A" w:rsidP="00EC107A">
      <w:pPr>
        <w:pStyle w:val="Tekstpodstawowywcity"/>
        <w:spacing w:after="0" w:line="360" w:lineRule="auto"/>
        <w:ind w:firstLine="425"/>
        <w:jc w:val="both"/>
        <w:rPr>
          <w:color w:val="000000"/>
          <w:spacing w:val="-4"/>
        </w:rPr>
      </w:pPr>
      <w:r w:rsidRPr="00EC107A">
        <w:rPr>
          <w:color w:val="000000"/>
          <w:spacing w:val="-4"/>
        </w:rPr>
        <w:t xml:space="preserve">Ustawodawca wprowadza również przepisy mające zapobiec nieuzasadnionym upadłościom pomimo zaistnienia sytuacji, która teoretycznie wypełnia przesłanki niewypłacalności dłużnika w myśl art. 11 PU.  I tak, zgodnie z art. 11 ust. 6 PU Sąd może oddalić wniosek o ogłoszenie upadłości, jeżeli nie ma zagrożenia utraty przez dłużnika zdolności do wykonywania jego wymagalnych zobowiązań pieniężnych w niedługim czasie. Ponadto w myśl </w:t>
      </w:r>
      <w:r w:rsidRPr="00EC107A">
        <w:rPr>
          <w:bCs/>
          <w:color w:val="000000"/>
          <w:spacing w:val="-4"/>
        </w:rPr>
        <w:t>Art. 12a</w:t>
      </w:r>
      <w:r w:rsidRPr="00EC107A">
        <w:rPr>
          <w:b/>
          <w:bCs/>
          <w:color w:val="000000"/>
          <w:spacing w:val="-4"/>
        </w:rPr>
        <w:t xml:space="preserve"> </w:t>
      </w:r>
      <w:r w:rsidRPr="00EC107A">
        <w:rPr>
          <w:bCs/>
          <w:color w:val="000000"/>
          <w:spacing w:val="-4"/>
        </w:rPr>
        <w:t>PU</w:t>
      </w:r>
      <w:r w:rsidRPr="00EC107A">
        <w:rPr>
          <w:b/>
          <w:bCs/>
          <w:color w:val="000000"/>
          <w:spacing w:val="-4"/>
        </w:rPr>
        <w:t xml:space="preserve"> </w:t>
      </w:r>
      <w:r w:rsidRPr="00EC107A">
        <w:rPr>
          <w:color w:val="000000"/>
          <w:spacing w:val="-4"/>
        </w:rPr>
        <w:t xml:space="preserve">sąd oddali wniosek o ogłoszenie upadłości złożony przez wierzyciela, jeżeli dłużnik wykaże, że wierzytelność ma w całości charakter sporny, a spór zaistniał między stronami przed złożeniem wniosku o ogłoszenie upadłości – co ma zapobiec wykorzystywaniu przez wierzycieli wniosku o złożenie upadłości dłużnika jako środka </w:t>
      </w:r>
      <w:r w:rsidRPr="00EC107A">
        <w:rPr>
          <w:i/>
          <w:color w:val="000000"/>
          <w:spacing w:val="-4"/>
        </w:rPr>
        <w:t>de facto</w:t>
      </w:r>
      <w:r w:rsidRPr="00EC107A">
        <w:rPr>
          <w:color w:val="000000"/>
          <w:spacing w:val="-4"/>
        </w:rPr>
        <w:t xml:space="preserve"> windykacyjnego. </w:t>
      </w:r>
    </w:p>
    <w:p w:rsidR="00EC107A" w:rsidRPr="00EC107A" w:rsidRDefault="00EC107A" w:rsidP="00EC107A">
      <w:pPr>
        <w:pStyle w:val="Tekstpodstawowywcity"/>
        <w:spacing w:after="0" w:line="360" w:lineRule="auto"/>
        <w:jc w:val="both"/>
        <w:rPr>
          <w:color w:val="000000"/>
          <w:spacing w:val="-4"/>
        </w:rPr>
      </w:pPr>
    </w:p>
    <w:p w:rsidR="00EC107A" w:rsidRPr="00EC107A" w:rsidRDefault="00EC107A" w:rsidP="00EC107A">
      <w:pPr>
        <w:pStyle w:val="Tekstpodstawowywcity"/>
        <w:spacing w:after="0" w:line="360" w:lineRule="auto"/>
        <w:jc w:val="both"/>
        <w:rPr>
          <w:b/>
          <w:color w:val="000000"/>
          <w:spacing w:val="-4"/>
        </w:rPr>
      </w:pPr>
      <w:r w:rsidRPr="00EC107A">
        <w:rPr>
          <w:b/>
          <w:color w:val="000000"/>
          <w:spacing w:val="-4"/>
        </w:rPr>
        <w:t>3. Wszczęcie postępowania upadłościowego</w:t>
      </w:r>
    </w:p>
    <w:p w:rsidR="00EC107A" w:rsidRPr="00EC107A" w:rsidRDefault="00EC107A" w:rsidP="00EC107A">
      <w:pPr>
        <w:pStyle w:val="Tekstpodstawowywcity"/>
        <w:spacing w:after="0" w:line="360" w:lineRule="auto"/>
        <w:jc w:val="both"/>
        <w:rPr>
          <w:color w:val="000000"/>
          <w:spacing w:val="-4"/>
        </w:rPr>
      </w:pPr>
    </w:p>
    <w:p w:rsidR="00EC107A" w:rsidRPr="00EC107A" w:rsidRDefault="00EC107A" w:rsidP="00EC107A">
      <w:pPr>
        <w:pStyle w:val="Tekstpodstawowywcity"/>
        <w:spacing w:after="0" w:line="360" w:lineRule="auto"/>
        <w:ind w:firstLine="425"/>
        <w:jc w:val="both"/>
        <w:rPr>
          <w:color w:val="000000"/>
          <w:spacing w:val="-4"/>
        </w:rPr>
      </w:pPr>
      <w:r w:rsidRPr="00EC107A">
        <w:rPr>
          <w:color w:val="000000"/>
          <w:spacing w:val="-4"/>
        </w:rPr>
        <w:t xml:space="preserve">Wszczęcie postępowania upadłościowego może nastąpić tylko na wniosek złożony przez podmioty określone w tej ustawie. Wniosek o ogłoszenie upadłości mogą przede wszystkim </w:t>
      </w:r>
      <w:r w:rsidRPr="00EC107A">
        <w:rPr>
          <w:color w:val="000000"/>
          <w:spacing w:val="-4"/>
        </w:rPr>
        <w:lastRenderedPageBreak/>
        <w:t xml:space="preserve">złożyć zarówno sam </w:t>
      </w:r>
      <w:r w:rsidRPr="00EC107A">
        <w:rPr>
          <w:b/>
          <w:color w:val="000000"/>
          <w:spacing w:val="-4"/>
        </w:rPr>
        <w:t>dłużnik</w:t>
      </w:r>
      <w:r w:rsidRPr="00EC107A">
        <w:rPr>
          <w:color w:val="000000"/>
          <w:spacing w:val="-4"/>
        </w:rPr>
        <w:t xml:space="preserve">, jak i </w:t>
      </w:r>
      <w:r w:rsidRPr="00EC107A">
        <w:rPr>
          <w:b/>
          <w:color w:val="000000"/>
          <w:spacing w:val="-4"/>
        </w:rPr>
        <w:t>każdy z jego wierzycieli osobistych</w:t>
      </w:r>
      <w:r w:rsidRPr="00EC107A">
        <w:rPr>
          <w:color w:val="000000"/>
          <w:spacing w:val="-4"/>
        </w:rPr>
        <w:t xml:space="preserve">. Ponadto w określonych przypadkach wniosek o ogłoszenie upadłości konkretnych podmiotów mogą zgłosić innej osoby wymienione w art. 20 ust. 2 PU. Postępowania upadłościowego nie może natomiast wszcząć sąd gospodarczy z własnej inicjatywy (z urzędu). Dłużnik, w przypadku stwierdzenia, że jest niewypłacalny ma nie tylko prawo, ale i </w:t>
      </w:r>
      <w:r w:rsidRPr="00EC107A">
        <w:rPr>
          <w:b/>
          <w:color w:val="000000"/>
          <w:spacing w:val="-4"/>
        </w:rPr>
        <w:t>obowiązek</w:t>
      </w:r>
      <w:r w:rsidRPr="00EC107A">
        <w:rPr>
          <w:color w:val="000000"/>
          <w:spacing w:val="-4"/>
        </w:rPr>
        <w:t xml:space="preserve"> złożenia wniosku o ogłoszenie swojej upadłości – zgodnie z </w:t>
      </w:r>
      <w:r w:rsidRPr="00EC107A">
        <w:rPr>
          <w:bCs/>
          <w:color w:val="000000"/>
          <w:spacing w:val="-4"/>
        </w:rPr>
        <w:t>Art. 21 ust.</w:t>
      </w:r>
      <w:r w:rsidRPr="00EC107A">
        <w:rPr>
          <w:color w:val="000000"/>
          <w:spacing w:val="-4"/>
        </w:rPr>
        <w:t xml:space="preserve"> 1 PU dłużnik jest obowiązany, nie później niż </w:t>
      </w:r>
      <w:r w:rsidRPr="00EC107A">
        <w:rPr>
          <w:b/>
          <w:color w:val="000000"/>
          <w:spacing w:val="-4"/>
        </w:rPr>
        <w:t>w terminie trzydziestu dni od dnia, w którym wystąpiła podstawa do ogłoszenia upadłości</w:t>
      </w:r>
      <w:r w:rsidRPr="00EC107A">
        <w:rPr>
          <w:color w:val="000000"/>
          <w:spacing w:val="-4"/>
        </w:rPr>
        <w:t>, zgłosić w sądzie wniosek o ogłoszenie upadłości. Jeżeli dłużnikiem jest osoba prawna albo inna jednostka organizacyjna nieposiadająca osobowości prawnej, której odrębna ustawa przyznaje zdolność prawną, obowiązek ten spoczywa na każdym, kto na podstawie ustawy, umowy spółki lub statutu ma prawo do prowadzenia spraw dłużnika i do jego reprezentowania, samodzielnie lub łącznie z innymi osobami (ust. 2).</w:t>
      </w:r>
    </w:p>
    <w:p w:rsidR="00EC107A" w:rsidRPr="00EC107A" w:rsidRDefault="00EC107A" w:rsidP="00EC107A">
      <w:pPr>
        <w:pStyle w:val="Tekstpodstawowywcity"/>
        <w:spacing w:after="0" w:line="360" w:lineRule="auto"/>
        <w:ind w:firstLine="425"/>
        <w:jc w:val="both"/>
        <w:rPr>
          <w:color w:val="000000"/>
          <w:spacing w:val="-4"/>
        </w:rPr>
      </w:pPr>
      <w:r w:rsidRPr="00EC107A">
        <w:rPr>
          <w:color w:val="000000"/>
          <w:spacing w:val="-4"/>
        </w:rPr>
        <w:t>Postępowanie w przedmiocie ogłoszenia upadłości prowadzi sąd upadłościowy, którym jest sąd gospodarczy właściwy dla głównego ośrodka podstawowej działalności dłużnika (art. 19 ust. 1 PU). Głównym ośrodkiem podstawowej działalności jest miejsce, w którym dłużnik regularnie zarządza swoją działalnością o charakterze ekonomicznym i które jako takie jest rozpoznawalne dla osób trzecich, przy czym w przypadku osoby prawnej oraz jednostki organizacyjnej nieposiadającej osobowości prawnej, której odrębna ustawa przyznaje zdolność prawną, domniemywa się, że głównym ośrodkiem jej podstawowej działalności jest miejsce siedziby. W przypadku osoby fizycznej prowadzącej działalność gospodarczą lub zawodową domniemywa się, że głównym ośrodkiem jej podstawowej działalności jest główne miejsce wykonywania działalności gospodarczej lub zawodowej; w przypadku każdej innej osoby fizycznej domniemywa się, że głównym ośrodkiem podstawowej działalności jest miejsce zwykłego pobytu tej osoby.</w:t>
      </w:r>
    </w:p>
    <w:p w:rsidR="00EC107A" w:rsidRPr="00EC107A" w:rsidRDefault="00EC107A" w:rsidP="00EC107A">
      <w:pPr>
        <w:pStyle w:val="Tekstpodstawowywcity"/>
        <w:spacing w:after="0" w:line="360" w:lineRule="auto"/>
        <w:ind w:firstLine="425"/>
        <w:jc w:val="both"/>
        <w:rPr>
          <w:color w:val="000000"/>
          <w:spacing w:val="-4"/>
        </w:rPr>
      </w:pPr>
      <w:r w:rsidRPr="00EC107A">
        <w:rPr>
          <w:color w:val="000000"/>
          <w:spacing w:val="-4"/>
        </w:rPr>
        <w:t>Rozpatrując sprawę w przedmiocie ogłoszenia upadłości sąd rozpoznaje ją na posiedzeniu niejawnym. Postanowienie w sprawie ogłoszenia upadłości sąd wydaje w terminie dwóch miesięcy od dnia złożenia wniosku. Zażalenie na postanowienie w sprawie ogłoszenia upadłości sąd drugiej instancji rozpoznaje w terminie miesiąca od dnia przedstawienia mu akt sprawy.</w:t>
      </w:r>
    </w:p>
    <w:p w:rsidR="00EC107A" w:rsidRPr="00EC107A" w:rsidRDefault="00EC107A" w:rsidP="00EC107A">
      <w:pPr>
        <w:pStyle w:val="Tekstpodstawowywcity"/>
        <w:spacing w:after="0" w:line="360" w:lineRule="auto"/>
        <w:ind w:firstLine="425"/>
        <w:jc w:val="both"/>
        <w:rPr>
          <w:color w:val="000000"/>
          <w:spacing w:val="-4"/>
        </w:rPr>
      </w:pPr>
      <w:r w:rsidRPr="00EC107A">
        <w:rPr>
          <w:color w:val="000000"/>
          <w:spacing w:val="-4"/>
        </w:rPr>
        <w:t>W przypadku stwierdzenia niewypłacalności dłużnika, sąd wydaje postanowienie o  ogłoszeniu jego upadłości. W postanowieniu tym ustala termin do zgłoszenia przez wierzycieli upadłego swoich wierzytelności, wyznacza sędziego-komisarza oraz syndyka. Data wydania postanowienia sądu o ogłoszeniu upadłości jest datą upadłości danego dłużnika.</w:t>
      </w:r>
      <w:r w:rsidRPr="00EC107A">
        <w:rPr>
          <w:b/>
          <w:color w:val="000000"/>
          <w:spacing w:val="-4"/>
        </w:rPr>
        <w:t xml:space="preserve"> </w:t>
      </w:r>
      <w:r w:rsidRPr="00EC107A">
        <w:rPr>
          <w:color w:val="000000"/>
          <w:spacing w:val="-4"/>
        </w:rPr>
        <w:t xml:space="preserve"> </w:t>
      </w:r>
    </w:p>
    <w:p w:rsidR="00EC107A" w:rsidRPr="00EC107A" w:rsidRDefault="00EC107A" w:rsidP="00EC107A">
      <w:pPr>
        <w:pStyle w:val="Tekstpodstawowywcity"/>
        <w:spacing w:after="0" w:line="360" w:lineRule="auto"/>
        <w:jc w:val="both"/>
        <w:rPr>
          <w:color w:val="000000"/>
          <w:spacing w:val="-4"/>
        </w:rPr>
      </w:pPr>
      <w:r w:rsidRPr="00EC107A">
        <w:rPr>
          <w:color w:val="000000"/>
          <w:spacing w:val="-4"/>
        </w:rPr>
        <w:lastRenderedPageBreak/>
        <w:t>Zaznaczyć jednak należy, że sąd oddali wniosek o ogłoszenie upadłości, jeżeli majątek niewypłacalnego dłużnika nie wystarcza na zaspokojenie kosztów postępowania lub wystarcza jedynie na zaspokojenie tych kosztów. Sąd może również oddalić wniosek o ogłoszenie upadłości w razie stwierdzenia, że majątek dłużnika jest obciążony hipoteką, zastawem, zastawem rejestrowym, zastawem skarbowym lub hipoteką morską w takim stopniu, że pozostały jego majątek nie wystarcza na zaspokojenie kosztów postępowania.</w:t>
      </w:r>
    </w:p>
    <w:p w:rsidR="00EC107A" w:rsidRPr="00EC107A" w:rsidRDefault="00EC107A" w:rsidP="00EC107A">
      <w:pPr>
        <w:pStyle w:val="Tekstpodstawowywcity"/>
        <w:spacing w:after="0" w:line="360" w:lineRule="auto"/>
        <w:jc w:val="both"/>
        <w:rPr>
          <w:color w:val="000000"/>
          <w:spacing w:val="-4"/>
        </w:rPr>
      </w:pPr>
    </w:p>
    <w:p w:rsidR="00EC107A" w:rsidRPr="00EC107A" w:rsidRDefault="00EC107A" w:rsidP="00EC107A">
      <w:pPr>
        <w:pStyle w:val="Tekstpodstawowywcity"/>
        <w:spacing w:after="0" w:line="360" w:lineRule="auto"/>
        <w:jc w:val="both"/>
        <w:rPr>
          <w:b/>
          <w:color w:val="000000"/>
          <w:spacing w:val="-4"/>
        </w:rPr>
      </w:pPr>
      <w:r w:rsidRPr="00EC107A">
        <w:rPr>
          <w:b/>
          <w:color w:val="000000"/>
          <w:spacing w:val="-4"/>
        </w:rPr>
        <w:t>4. Skutki ogłoszenia upadłości</w:t>
      </w:r>
    </w:p>
    <w:p w:rsidR="00EC107A" w:rsidRPr="00EC107A" w:rsidRDefault="00EC107A" w:rsidP="00EC107A">
      <w:pPr>
        <w:pStyle w:val="Tekstpodstawowywcity"/>
        <w:spacing w:after="0" w:line="360" w:lineRule="auto"/>
        <w:jc w:val="both"/>
        <w:rPr>
          <w:color w:val="000000"/>
          <w:spacing w:val="-4"/>
        </w:rPr>
      </w:pPr>
    </w:p>
    <w:p w:rsidR="00EC107A" w:rsidRPr="00EC107A" w:rsidRDefault="00EC107A" w:rsidP="00EC107A">
      <w:pPr>
        <w:pStyle w:val="Tekstpodstawowywcity"/>
        <w:spacing w:after="0" w:line="360" w:lineRule="auto"/>
        <w:jc w:val="both"/>
        <w:rPr>
          <w:color w:val="000000"/>
          <w:spacing w:val="-4"/>
        </w:rPr>
      </w:pPr>
      <w:r w:rsidRPr="00EC107A">
        <w:rPr>
          <w:color w:val="000000"/>
          <w:spacing w:val="-4"/>
        </w:rPr>
        <w:tab/>
        <w:t xml:space="preserve">Z dniem ogłoszenia upadłości upadły traci prawo zarządu oraz możliwość korzystania z mienia wchodzącego do masy upadłości i rozporządzania nim. Zarząd ten przejmuje powołany przez sąd </w:t>
      </w:r>
      <w:r w:rsidRPr="00EC107A">
        <w:rPr>
          <w:b/>
          <w:color w:val="000000"/>
          <w:spacing w:val="-4"/>
        </w:rPr>
        <w:t>syndyk masy upadłości</w:t>
      </w:r>
      <w:r w:rsidRPr="00EC107A">
        <w:rPr>
          <w:color w:val="000000"/>
          <w:spacing w:val="-4"/>
        </w:rPr>
        <w:t>, którego zadaniem jest objęcie majątku upadłego, a następnie zarządzanie nim oraz zabezpieczenie przed zniszczeniem uszkodzeniem lub zabraniem go przez osoby postronne w przypadku ogłoszenia upadłości obejmującej likwidacje majątku. Syndyk sporządza również listę wierzytelności, sporządza i składa sędziemu-komisarzowi plan podziału funduszów masy upadłości.</w:t>
      </w:r>
    </w:p>
    <w:p w:rsidR="00EC107A" w:rsidRPr="00EC107A" w:rsidRDefault="00EC107A" w:rsidP="00EC107A">
      <w:pPr>
        <w:pStyle w:val="Tekstpodstawowywcity"/>
        <w:spacing w:after="0" w:line="360" w:lineRule="auto"/>
        <w:jc w:val="both"/>
        <w:rPr>
          <w:color w:val="000000"/>
          <w:spacing w:val="-4"/>
        </w:rPr>
      </w:pPr>
      <w:r w:rsidRPr="00EC107A">
        <w:rPr>
          <w:color w:val="000000"/>
          <w:spacing w:val="-4"/>
        </w:rPr>
        <w:tab/>
        <w:t xml:space="preserve">Z dniem ogłoszenia upadłości majątek upadłego staje się </w:t>
      </w:r>
      <w:r w:rsidRPr="00EC107A">
        <w:rPr>
          <w:b/>
          <w:color w:val="000000"/>
          <w:spacing w:val="-4"/>
        </w:rPr>
        <w:t>masą upadłości</w:t>
      </w:r>
      <w:r w:rsidRPr="00EC107A">
        <w:rPr>
          <w:color w:val="000000"/>
          <w:spacing w:val="-4"/>
        </w:rPr>
        <w:t xml:space="preserve">, która służy zaspokojeniu wierzycieli upadłego. Wierzyciele mogą w postępowaniu upadłościowym uzyskać zaspokojenie swoich roszczeń w stosunku do dłużnika, właśnie z masy upadłości jednak tylko w sposób przewidziany przez przepisy PU. W skład masy upadłości wchodzi co do zasady cały majątek należący do upadłego w dniu ogłoszenia upadłości oraz majątek nabyty przez upadłego już w toku postępowania upadłościowego. Ustalenia składu masy upadłości dokonuje syndyk na podstawie wpisów w księgach upadłego i dokumentów bezspornych, przez sporządzenie spisu inwentarza, wraz z którym dokonuje się oszacowania majątku wchodzącego do masy upadłości. Domniemywa się, że rzeczy znajdujące się w posiadaniu upadłego w dniu ogłoszenia upadłości należą do majątku upadłego. </w:t>
      </w:r>
      <w:r w:rsidRPr="00EC107A">
        <w:rPr>
          <w:bCs/>
          <w:color w:val="000000"/>
          <w:spacing w:val="-4"/>
        </w:rPr>
        <w:t>Wątpliwości co do tego, które z przedmiotów należących do upadłego wchodzą w skład masy upadłości, rozstrzyga sędzia-komisarz na wniosek syndyka, upadłego lub wierzyciela. Na postanowienie sędziego--komisarza zażalenie przysługuje wnioskodawcy, upadłemu i wierzycielom.</w:t>
      </w:r>
      <w:r w:rsidRPr="00EC107A">
        <w:rPr>
          <w:color w:val="000000"/>
          <w:spacing w:val="-4"/>
        </w:rPr>
        <w:t xml:space="preserve"> </w:t>
      </w:r>
    </w:p>
    <w:p w:rsidR="00EC107A" w:rsidRPr="00EC107A" w:rsidRDefault="00EC107A" w:rsidP="00EC107A">
      <w:pPr>
        <w:pStyle w:val="Tekstpodstawowywcity"/>
        <w:spacing w:after="0" w:line="360" w:lineRule="auto"/>
        <w:ind w:firstLine="425"/>
        <w:jc w:val="both"/>
        <w:rPr>
          <w:color w:val="000000"/>
          <w:spacing w:val="-4"/>
        </w:rPr>
      </w:pPr>
      <w:r w:rsidRPr="00EC107A">
        <w:rPr>
          <w:color w:val="000000"/>
          <w:spacing w:val="-4"/>
        </w:rPr>
        <w:t xml:space="preserve">Ogłoszenie upadłości wpływa również na ewentualnie prowadzone przeciwko dłużnikowi postępowania sądowe i egzekucyjne.  Po ogłoszeniu upadłości postępowania sądowe, administracyjne lub </w:t>
      </w:r>
      <w:proofErr w:type="spellStart"/>
      <w:r w:rsidRPr="00EC107A">
        <w:rPr>
          <w:color w:val="000000"/>
          <w:spacing w:val="-4"/>
        </w:rPr>
        <w:t>sądowoadministracyjne</w:t>
      </w:r>
      <w:proofErr w:type="spellEnd"/>
      <w:r w:rsidRPr="00EC107A">
        <w:rPr>
          <w:color w:val="000000"/>
          <w:spacing w:val="-4"/>
        </w:rPr>
        <w:t xml:space="preserve"> dotyczące masy upadłości mogą być wszczęte i prowadzone wyłącznie przez syndyka albo przeciwko niemu. Postępowania te prowadzi na rzecz upadłego, lecz w imieniu własnym.  Postępowanie egzekucyjne skierowane do majątku </w:t>
      </w:r>
      <w:r w:rsidRPr="00EC107A">
        <w:rPr>
          <w:color w:val="000000"/>
          <w:spacing w:val="-4"/>
        </w:rPr>
        <w:lastRenderedPageBreak/>
        <w:t>wchodzącego w skład masy upadłości, wszczęte przed dniem ogłoszenia upadłości, ulega zawieszeniu z mocy prawa z dniem ogłoszenia upadłości. Postępowanie to umarza się z mocy prawa po uprawomocnieniu się postanowienia o ogłoszeniu upadłości. Zawieszenie postępowania egzekucyjnego nie stoi na przeszkodzie przysądzeniu własności nieruchomości, jeżeli przybicia prawomocnie udzielono przed ogłoszeniem upadłości, a nabywca egzekucyjny wpłaci w terminie cenę nabycia. Sumy uzyskane w postępowaniach zawieszonych, które nie zostały wydane wierzycielom przelewa się do masy upadłości, a wierzyciele będą zaspokajani w postępowaniu upadłościowym, zgodnie z przepisami PU. Wszczęcie nowych postępowań egzekucyjnych przeciwko upadłemu z masy upadłości jest w czasie postępowania upadłościowego niedopuszczalne.</w:t>
      </w:r>
    </w:p>
    <w:p w:rsidR="00EC107A" w:rsidRPr="00EC107A" w:rsidRDefault="00EC107A" w:rsidP="00EC107A">
      <w:pPr>
        <w:pStyle w:val="Tekstpodstawowywcity"/>
        <w:spacing w:after="0" w:line="360" w:lineRule="auto"/>
        <w:jc w:val="both"/>
        <w:rPr>
          <w:color w:val="000000"/>
          <w:spacing w:val="-4"/>
        </w:rPr>
      </w:pPr>
    </w:p>
    <w:p w:rsidR="00EC107A" w:rsidRPr="00EC107A" w:rsidRDefault="00EC107A" w:rsidP="00EC107A">
      <w:pPr>
        <w:pStyle w:val="Tekstpodstawowywcity"/>
        <w:spacing w:after="0" w:line="360" w:lineRule="auto"/>
        <w:ind w:left="0"/>
        <w:jc w:val="both"/>
        <w:rPr>
          <w:b/>
          <w:color w:val="000000"/>
          <w:spacing w:val="-4"/>
        </w:rPr>
      </w:pPr>
      <w:r w:rsidRPr="00EC107A">
        <w:rPr>
          <w:b/>
          <w:color w:val="000000"/>
          <w:spacing w:val="-4"/>
        </w:rPr>
        <w:t>5. Likwidacja masy upadłości</w:t>
      </w:r>
    </w:p>
    <w:p w:rsidR="00EC107A" w:rsidRPr="00EC107A" w:rsidRDefault="00EC107A" w:rsidP="00EC107A">
      <w:pPr>
        <w:pStyle w:val="Tekstpodstawowywcity"/>
        <w:spacing w:after="0" w:line="360" w:lineRule="auto"/>
        <w:jc w:val="both"/>
        <w:rPr>
          <w:b/>
          <w:color w:val="000000"/>
          <w:spacing w:val="-4"/>
        </w:rPr>
      </w:pPr>
      <w:r w:rsidRPr="00EC107A">
        <w:rPr>
          <w:b/>
          <w:color w:val="000000"/>
          <w:spacing w:val="-4"/>
        </w:rPr>
        <w:tab/>
      </w:r>
    </w:p>
    <w:p w:rsidR="00EC107A" w:rsidRPr="00EC107A" w:rsidRDefault="00EC107A" w:rsidP="00EC107A">
      <w:pPr>
        <w:pStyle w:val="Tekstpodstawowywcity"/>
        <w:spacing w:after="0" w:line="360" w:lineRule="auto"/>
        <w:jc w:val="both"/>
        <w:rPr>
          <w:color w:val="000000"/>
          <w:spacing w:val="-4"/>
        </w:rPr>
      </w:pPr>
      <w:r w:rsidRPr="00EC107A">
        <w:rPr>
          <w:color w:val="000000"/>
          <w:spacing w:val="-4"/>
        </w:rPr>
        <w:tab/>
        <w:t>Likwidacja masy upadłości oznacza sprzedaż poszczególnych składników tej masy przez syndyka w celu zaspokojenia wierzycieli upadłego z uzyskanych sum pieniężnych. W rezultacie powoduje więc koniec działalności gospodarczej dłużnika, a nawet – w sytuacji gdy jest on osobą prawną lub jednostką organizacyjną nie posiadającą osobowości prawnej – koniec istnienia dłużnika.</w:t>
      </w:r>
    </w:p>
    <w:p w:rsidR="00EC107A" w:rsidRPr="00EC107A" w:rsidRDefault="00EC107A" w:rsidP="00A461E1">
      <w:pPr>
        <w:pStyle w:val="Tekstpodstawowywcity"/>
        <w:spacing w:after="0" w:line="360" w:lineRule="auto"/>
        <w:jc w:val="both"/>
        <w:rPr>
          <w:color w:val="000000"/>
          <w:spacing w:val="-4"/>
        </w:rPr>
      </w:pPr>
      <w:r w:rsidRPr="00EC107A">
        <w:rPr>
          <w:color w:val="000000"/>
          <w:spacing w:val="-4"/>
        </w:rPr>
        <w:tab/>
        <w:t>Przygotowania do likwidacji majątku dłużnika rozpoczynają się po ogłoszeniu upadłości l. Syndyk powinien wówczas niezwłocznie przystąpić do:</w:t>
      </w:r>
    </w:p>
    <w:p w:rsidR="00EC107A" w:rsidRPr="00EC107A" w:rsidRDefault="00EC107A" w:rsidP="00EC107A">
      <w:pPr>
        <w:pStyle w:val="Tekstpodstawowywcity"/>
        <w:numPr>
          <w:ilvl w:val="0"/>
          <w:numId w:val="6"/>
        </w:numPr>
        <w:spacing w:after="0" w:line="360" w:lineRule="auto"/>
        <w:jc w:val="both"/>
        <w:rPr>
          <w:b/>
          <w:color w:val="000000"/>
          <w:spacing w:val="-4"/>
        </w:rPr>
      </w:pPr>
      <w:r w:rsidRPr="00EC107A">
        <w:rPr>
          <w:color w:val="000000"/>
          <w:spacing w:val="-4"/>
        </w:rPr>
        <w:t>Sporządzenia spisu inwentarza wchodzącego w skład masy upadłości (spis ten powinien obejmować wszystkie składniki majątku upadłego),</w:t>
      </w:r>
    </w:p>
    <w:p w:rsidR="00EC107A" w:rsidRPr="00EC107A" w:rsidRDefault="00EC107A" w:rsidP="00EC107A">
      <w:pPr>
        <w:pStyle w:val="Tekstpodstawowywcity"/>
        <w:numPr>
          <w:ilvl w:val="0"/>
          <w:numId w:val="6"/>
        </w:numPr>
        <w:spacing w:after="0" w:line="360" w:lineRule="auto"/>
        <w:jc w:val="both"/>
        <w:rPr>
          <w:b/>
          <w:color w:val="000000"/>
          <w:spacing w:val="-4"/>
        </w:rPr>
      </w:pPr>
      <w:r w:rsidRPr="00EC107A">
        <w:rPr>
          <w:color w:val="000000"/>
          <w:spacing w:val="-4"/>
        </w:rPr>
        <w:t>Oszacowania masy upadłości (należy uwzględnić ceny za jakie można zbyć przedmioty podlegające likwidacji),</w:t>
      </w:r>
    </w:p>
    <w:p w:rsidR="00EC107A" w:rsidRPr="00EC107A" w:rsidRDefault="00EC107A" w:rsidP="00EC107A">
      <w:pPr>
        <w:pStyle w:val="Tekstpodstawowywcity"/>
        <w:numPr>
          <w:ilvl w:val="0"/>
          <w:numId w:val="6"/>
        </w:numPr>
        <w:spacing w:after="0" w:line="360" w:lineRule="auto"/>
        <w:jc w:val="both"/>
        <w:rPr>
          <w:b/>
          <w:color w:val="000000"/>
          <w:spacing w:val="-4"/>
        </w:rPr>
      </w:pPr>
      <w:r w:rsidRPr="00EC107A">
        <w:rPr>
          <w:color w:val="000000"/>
          <w:spacing w:val="-4"/>
        </w:rPr>
        <w:t xml:space="preserve"> Sporządzenia planu likwidacyjnego określającego:</w:t>
      </w:r>
    </w:p>
    <w:p w:rsidR="00EC107A" w:rsidRPr="00EC107A" w:rsidRDefault="00EC107A" w:rsidP="00EC107A">
      <w:pPr>
        <w:pStyle w:val="Tekstpodstawowywcity"/>
        <w:numPr>
          <w:ilvl w:val="1"/>
          <w:numId w:val="38"/>
        </w:numPr>
        <w:spacing w:after="0" w:line="360" w:lineRule="auto"/>
        <w:jc w:val="both"/>
        <w:rPr>
          <w:color w:val="000000"/>
          <w:spacing w:val="-4"/>
        </w:rPr>
      </w:pPr>
      <w:r w:rsidRPr="00EC107A">
        <w:rPr>
          <w:color w:val="000000"/>
          <w:spacing w:val="-4"/>
        </w:rPr>
        <w:t>proponowane sposoby sprzedaży składników majątku upadłego (w szczególności jego zorganizowanego przedsiębiorstwa),</w:t>
      </w:r>
    </w:p>
    <w:p w:rsidR="00EC107A" w:rsidRPr="00EC107A" w:rsidRDefault="00EC107A" w:rsidP="00EC107A">
      <w:pPr>
        <w:pStyle w:val="Tekstpodstawowywcity"/>
        <w:numPr>
          <w:ilvl w:val="1"/>
          <w:numId w:val="38"/>
        </w:numPr>
        <w:spacing w:after="0" w:line="360" w:lineRule="auto"/>
        <w:jc w:val="both"/>
        <w:rPr>
          <w:color w:val="000000"/>
          <w:spacing w:val="-4"/>
        </w:rPr>
      </w:pPr>
      <w:r w:rsidRPr="00EC107A">
        <w:rPr>
          <w:color w:val="000000"/>
          <w:spacing w:val="-4"/>
        </w:rPr>
        <w:t>termin sprzedaży,</w:t>
      </w:r>
    </w:p>
    <w:p w:rsidR="00EC107A" w:rsidRPr="00EC107A" w:rsidRDefault="00EC107A" w:rsidP="00EC107A">
      <w:pPr>
        <w:pStyle w:val="Tekstpodstawowywcity"/>
        <w:numPr>
          <w:ilvl w:val="1"/>
          <w:numId w:val="38"/>
        </w:numPr>
        <w:spacing w:after="0" w:line="360" w:lineRule="auto"/>
        <w:jc w:val="both"/>
        <w:rPr>
          <w:color w:val="000000"/>
          <w:spacing w:val="-4"/>
        </w:rPr>
      </w:pPr>
      <w:r w:rsidRPr="00EC107A">
        <w:rPr>
          <w:color w:val="000000"/>
          <w:spacing w:val="-4"/>
        </w:rPr>
        <w:t>preliminarz wydatków,</w:t>
      </w:r>
    </w:p>
    <w:p w:rsidR="00EC107A" w:rsidRPr="00EC107A" w:rsidRDefault="00EC107A" w:rsidP="00EC107A">
      <w:pPr>
        <w:pStyle w:val="Tekstpodstawowywcity"/>
        <w:numPr>
          <w:ilvl w:val="1"/>
          <w:numId w:val="38"/>
        </w:numPr>
        <w:spacing w:after="0" w:line="360" w:lineRule="auto"/>
        <w:jc w:val="both"/>
        <w:rPr>
          <w:color w:val="000000"/>
          <w:spacing w:val="-4"/>
        </w:rPr>
      </w:pPr>
      <w:r w:rsidRPr="00EC107A">
        <w:rPr>
          <w:color w:val="000000"/>
          <w:spacing w:val="-4"/>
        </w:rPr>
        <w:t>ekonomiczne uzasadnienie ewentualnego dalszego prowadzenia działalności gospodarczej.</w:t>
      </w:r>
    </w:p>
    <w:p w:rsidR="00EC107A" w:rsidRPr="00EC107A" w:rsidRDefault="00EC107A" w:rsidP="00EC107A">
      <w:pPr>
        <w:pStyle w:val="Tekstpodstawowywcity"/>
        <w:spacing w:after="0" w:line="360" w:lineRule="auto"/>
        <w:ind w:left="0"/>
        <w:jc w:val="both"/>
        <w:rPr>
          <w:color w:val="000000"/>
          <w:spacing w:val="-4"/>
        </w:rPr>
      </w:pPr>
    </w:p>
    <w:p w:rsidR="00EC107A" w:rsidRPr="00EC107A" w:rsidRDefault="00EC107A" w:rsidP="00EC107A">
      <w:pPr>
        <w:pStyle w:val="Tekstpodstawowywcity"/>
        <w:spacing w:after="0" w:line="360" w:lineRule="auto"/>
        <w:ind w:firstLine="425"/>
        <w:jc w:val="both"/>
        <w:rPr>
          <w:color w:val="000000"/>
          <w:spacing w:val="-4"/>
        </w:rPr>
      </w:pPr>
      <w:r w:rsidRPr="00EC107A">
        <w:rPr>
          <w:color w:val="000000"/>
          <w:spacing w:val="-4"/>
        </w:rPr>
        <w:t xml:space="preserve">Syndyk składa sędziemu-komisarzowi spis inwentarza wraz z planem likwidacyjnym w terminie trzydziestu dni od dnia ogłoszenia upadłości. Na podstawie spisu inwentarza i innych </w:t>
      </w:r>
      <w:r w:rsidRPr="00EC107A">
        <w:rPr>
          <w:color w:val="000000"/>
          <w:spacing w:val="-4"/>
        </w:rPr>
        <w:lastRenderedPageBreak/>
        <w:t xml:space="preserve">dokumentów upadłego oraz oszacowania syndyk sporządza sprawozdanie finansowe na dzień poprzedzający ogłoszenie upadłości i niezwłocznie przedkłada je sędziemu-komisarzowi. Następnie syndyk przeprowadza likwidację masy upadłości. </w:t>
      </w:r>
    </w:p>
    <w:p w:rsidR="00EC107A" w:rsidRPr="00EC107A" w:rsidRDefault="00EC107A" w:rsidP="00EC107A">
      <w:pPr>
        <w:pStyle w:val="Tekstpodstawowywcity"/>
        <w:spacing w:after="0" w:line="360" w:lineRule="auto"/>
        <w:jc w:val="both"/>
        <w:rPr>
          <w:color w:val="000000"/>
          <w:spacing w:val="-4"/>
        </w:rPr>
      </w:pPr>
      <w:r w:rsidRPr="00EC107A">
        <w:rPr>
          <w:color w:val="000000"/>
          <w:spacing w:val="-4"/>
        </w:rPr>
        <w:tab/>
        <w:t xml:space="preserve">Likwidacji masy upadłości dokonuje się przez sprzedaż z wolnej ręki lub w drodze przetargu lub aukcji przedsiębiorstwa upadłego w całości lub jego zorganizowanych części, nieruchomości i ruchomości, wierzytelności oraz innych praw majątkowych wchodzących w skład masy upadłości albo przez ściągnięcie wierzytelności od dłużników upadłego i wykonanie innych jego praw majątkowych (art. 311 ust. 1 PU). Syndyk może przy tym dalej prowadzić przedsiębiorstwo upadłego, o ile możliwe jest zawarcie układu z wierzycielami lub zbycie przedsiębiorstwa upadłego w całości lub jego zorganizowanej części. </w:t>
      </w:r>
      <w:r w:rsidRPr="00EC107A">
        <w:rPr>
          <w:color w:val="000000"/>
          <w:spacing w:val="-4"/>
        </w:rPr>
        <w:tab/>
      </w:r>
    </w:p>
    <w:p w:rsidR="00EC107A" w:rsidRPr="00EC107A" w:rsidRDefault="00EC107A" w:rsidP="00EC107A">
      <w:pPr>
        <w:pStyle w:val="Tekstpodstawowywcity"/>
        <w:spacing w:after="0" w:line="360" w:lineRule="auto"/>
        <w:jc w:val="both"/>
        <w:rPr>
          <w:color w:val="000000"/>
          <w:spacing w:val="-4"/>
        </w:rPr>
      </w:pPr>
      <w:r w:rsidRPr="00EC107A">
        <w:rPr>
          <w:color w:val="000000"/>
          <w:spacing w:val="-4"/>
        </w:rPr>
        <w:t xml:space="preserve">Zgodnie z </w:t>
      </w:r>
      <w:r w:rsidRPr="00EC107A">
        <w:rPr>
          <w:bCs/>
          <w:color w:val="000000"/>
          <w:spacing w:val="-4"/>
        </w:rPr>
        <w:t>art. 313. ust. 1 PU</w:t>
      </w:r>
      <w:r w:rsidRPr="00EC107A">
        <w:rPr>
          <w:b/>
          <w:bCs/>
          <w:color w:val="000000"/>
          <w:spacing w:val="-4"/>
        </w:rPr>
        <w:t xml:space="preserve"> </w:t>
      </w:r>
      <w:r w:rsidRPr="00EC107A">
        <w:rPr>
          <w:color w:val="000000"/>
          <w:spacing w:val="-4"/>
        </w:rPr>
        <w:t xml:space="preserve">sprzedaż dokonana w postępowaniu upadłościowym ma skutki sprzedaży egzekucyjnej (a zatem są nabywane bez żadnych obciążeń). Nabywca składników masy upadłości nie odpowiada za zobowiązania podatkowe upadłego, także powstałe po ogłoszeniu upadłości. </w:t>
      </w:r>
    </w:p>
    <w:p w:rsidR="00EC107A" w:rsidRPr="00EC107A" w:rsidRDefault="00EC107A" w:rsidP="00EC107A">
      <w:pPr>
        <w:pStyle w:val="Tekstpodstawowywcity"/>
        <w:spacing w:after="0" w:line="360" w:lineRule="auto"/>
        <w:jc w:val="both"/>
        <w:rPr>
          <w:color w:val="000000"/>
          <w:spacing w:val="-4"/>
        </w:rPr>
      </w:pPr>
      <w:r w:rsidRPr="00EC107A">
        <w:rPr>
          <w:color w:val="000000"/>
          <w:spacing w:val="-4"/>
        </w:rPr>
        <w:tab/>
        <w:t xml:space="preserve">Przy dokonywaniu likwidacji masy obowiązuje zasada, że </w:t>
      </w:r>
      <w:r w:rsidRPr="00EC107A">
        <w:rPr>
          <w:b/>
          <w:color w:val="000000"/>
          <w:spacing w:val="-4"/>
        </w:rPr>
        <w:t>przedsiębiorstwo upadłego powinno być sprzedane jako całość, chyba że nie jest to możliwe</w:t>
      </w:r>
      <w:r w:rsidRPr="00EC107A">
        <w:rPr>
          <w:color w:val="000000"/>
          <w:spacing w:val="-4"/>
        </w:rPr>
        <w:t xml:space="preserve"> (art. 316 PU). Zbycie przedsiębiorstwa powoduje przeniesienie na nabywcę ogółu składników tego przedsiębiorstwa – nieruchomości, rzeczy ruchomych, wierzytelności i innych praw (w tym patentów), a także koncesji, zezwoleń, licencji i ulg, które zostały udzielone upadłemu, chyba, że  przepisy prawa lub decyzja udzielająca danej koncesji, ulgi lub zezwolenia stanowi inaczej. Istnieje również możliwość sprzedaży zorganizowanych części przedsiębiorstwa. Jeżeli nie uda się zbyć całego przedsiębiorstwa dłużnika albo jego zorganizowanej części, syndyk dokonuje stopniowej likwidacji poszczególnych składników majątku upadłego. </w:t>
      </w:r>
    </w:p>
    <w:p w:rsidR="00EC107A" w:rsidRPr="00EC107A" w:rsidRDefault="00EC107A" w:rsidP="00EC107A">
      <w:pPr>
        <w:pStyle w:val="Tekstpodstawowywcity"/>
        <w:spacing w:after="0" w:line="360" w:lineRule="auto"/>
        <w:jc w:val="both"/>
        <w:rPr>
          <w:color w:val="000000"/>
          <w:spacing w:val="-4"/>
        </w:rPr>
      </w:pPr>
      <w:r w:rsidRPr="00EC107A">
        <w:rPr>
          <w:color w:val="000000"/>
          <w:spacing w:val="-4"/>
        </w:rPr>
        <w:t xml:space="preserve">Kwoty uzyskane ze sprzedaży składników masy upadłości stanowią fundusze masy upadłości, służące zaspokojeniu wierzycieli upadłego. </w:t>
      </w:r>
    </w:p>
    <w:p w:rsidR="00EC107A" w:rsidRPr="00EC107A" w:rsidRDefault="00EC107A" w:rsidP="00EC107A">
      <w:pPr>
        <w:pStyle w:val="Tekstpodstawowywcity"/>
        <w:spacing w:after="0" w:line="360" w:lineRule="auto"/>
        <w:jc w:val="both"/>
        <w:rPr>
          <w:color w:val="000000"/>
          <w:spacing w:val="-4"/>
        </w:rPr>
      </w:pPr>
      <w:r w:rsidRPr="00EC107A">
        <w:rPr>
          <w:color w:val="000000"/>
          <w:spacing w:val="-4"/>
        </w:rPr>
        <w:tab/>
      </w:r>
    </w:p>
    <w:p w:rsidR="00EC107A" w:rsidRPr="00EC107A" w:rsidRDefault="00EC107A" w:rsidP="00EC107A">
      <w:pPr>
        <w:pStyle w:val="Tekstpodstawowywcity"/>
        <w:spacing w:after="0" w:line="360" w:lineRule="auto"/>
        <w:jc w:val="both"/>
        <w:rPr>
          <w:b/>
          <w:color w:val="000000"/>
          <w:spacing w:val="-4"/>
        </w:rPr>
      </w:pPr>
      <w:r w:rsidRPr="00EC107A">
        <w:rPr>
          <w:b/>
          <w:color w:val="000000"/>
          <w:spacing w:val="-4"/>
        </w:rPr>
        <w:t xml:space="preserve">6.  Podział funduszy masy upadłości </w:t>
      </w:r>
    </w:p>
    <w:p w:rsidR="00EC107A" w:rsidRPr="00EC107A" w:rsidRDefault="00EC107A" w:rsidP="00EC107A">
      <w:pPr>
        <w:pStyle w:val="Tekstpodstawowywcity"/>
        <w:spacing w:after="0" w:line="360" w:lineRule="auto"/>
        <w:jc w:val="both"/>
        <w:rPr>
          <w:color w:val="000000"/>
          <w:spacing w:val="-4"/>
        </w:rPr>
      </w:pPr>
    </w:p>
    <w:p w:rsidR="00EC107A" w:rsidRPr="00EC107A" w:rsidRDefault="00EC107A" w:rsidP="00EC107A">
      <w:pPr>
        <w:pStyle w:val="Tekstpodstawowywcity"/>
        <w:spacing w:after="0" w:line="360" w:lineRule="auto"/>
        <w:jc w:val="both"/>
        <w:rPr>
          <w:color w:val="000000"/>
          <w:spacing w:val="-4"/>
        </w:rPr>
      </w:pPr>
      <w:r w:rsidRPr="00EC107A">
        <w:rPr>
          <w:color w:val="000000"/>
          <w:spacing w:val="-4"/>
        </w:rPr>
        <w:tab/>
        <w:t xml:space="preserve">Po uzyskaniu funduszy w ramach likwidacji masy upadłości należy dokonać ich podziału pomiędzy wierzycieli upadłego. Podział dokonywany jest na podstawie planu podziału funduszów masy upadłości, do którego sporządzenia zobowiązany jest syndyk. Po sporządzeniu planu syndyk składa go sędziemu-komisarzowi. Do przedłożonego planu sędzia-komisarz może wnieść poprawki lub polecić syndykowi dokonanie zmian w planie. Sędzia-komisarz zawiadamia upadłego i członków rady wierzycieli oraz obwieszcza, że plan podziału </w:t>
      </w:r>
      <w:r w:rsidRPr="00EC107A">
        <w:rPr>
          <w:color w:val="000000"/>
          <w:spacing w:val="-4"/>
        </w:rPr>
        <w:lastRenderedPageBreak/>
        <w:t xml:space="preserve">można przeglądać w sekretariacie sądu i w terminie dwóch tygodni od dnia obwieszczenia wnosić zarzuty przeciwko planowi podziału. Osoby nie zgadzające się z postanowieniami planu podziału mogą  wnosić sędziemu-komisarzowi zarzuty do planu podziału. Zarzuty rozpatruje sędzia-komisarz, podejmując decyzje w drodze postanowienia. Na postanowienia sędziego przysługuje zażalenie do sądu upadłościowego. Jeżeli nie wniesiono zarzutów, a w razie ich wniesienia – po uprawomocnieniu się postanowień w tych sprawach, sędzia-komisarz zatwierdza plan podziału. Niezwłocznie po zatwierdzeniu planu przez sędziego-komisarza następuje jego wykonanie poprzez podział zgodnie z planem kwot uzyskanych z masy upadłości pomiędzy wierzycieli. </w:t>
      </w:r>
    </w:p>
    <w:p w:rsidR="00EC107A" w:rsidRPr="00EC107A" w:rsidRDefault="00EC107A" w:rsidP="00EC107A">
      <w:pPr>
        <w:pStyle w:val="Tekstpodstawowywcity"/>
        <w:spacing w:after="0" w:line="360" w:lineRule="auto"/>
        <w:jc w:val="both"/>
        <w:rPr>
          <w:color w:val="000000"/>
          <w:spacing w:val="-4"/>
        </w:rPr>
      </w:pPr>
      <w:r w:rsidRPr="00EC107A">
        <w:rPr>
          <w:color w:val="000000"/>
          <w:spacing w:val="-4"/>
        </w:rPr>
        <w:tab/>
        <w:t>W przypadku wierzytelności zabezpieczonych jednym z praw rzeczowych (hipoteką, zastawem, zastawem rejestrowym, zastawem skarbowym i hipoteką morską) obowiązuje tzw. prawo odrębności – w zakresie sum uzyskanych ze zbycia przedmiotów zabezpieczenia są one zaspokajane oddzielnie od innych długów upadłego na następujących zasadach:</w:t>
      </w:r>
    </w:p>
    <w:p w:rsidR="00EC107A" w:rsidRPr="00EC107A" w:rsidRDefault="00EC107A" w:rsidP="00EC107A">
      <w:pPr>
        <w:pStyle w:val="Tekstpodstawowywcity"/>
        <w:spacing w:after="0" w:line="360" w:lineRule="auto"/>
        <w:jc w:val="both"/>
        <w:rPr>
          <w:color w:val="000000"/>
          <w:spacing w:val="-4"/>
        </w:rPr>
      </w:pPr>
    </w:p>
    <w:p w:rsidR="00EC107A" w:rsidRPr="00EC107A" w:rsidRDefault="00EC107A" w:rsidP="00EC107A">
      <w:pPr>
        <w:pStyle w:val="Tekstpodstawowywcity"/>
        <w:numPr>
          <w:ilvl w:val="0"/>
          <w:numId w:val="40"/>
        </w:numPr>
        <w:spacing w:after="0" w:line="360" w:lineRule="auto"/>
        <w:jc w:val="both"/>
        <w:rPr>
          <w:color w:val="000000"/>
          <w:spacing w:val="-4"/>
        </w:rPr>
      </w:pPr>
      <w:r w:rsidRPr="00EC107A">
        <w:rPr>
          <w:color w:val="000000"/>
          <w:spacing w:val="-4"/>
        </w:rPr>
        <w:t>Sumy uzyskane ze zbycia rzeczy i praw obciążonych hipoteką, zastawem, zastawem rejestrowym, zastawem skarbowym i hipoteką morską nie wchodzą do masy upadłości lecz są przeznaczone w pierwszej kolejności na zaspokojenie wierzycieli, których wierzytelności były tak zabezpieczone.</w:t>
      </w:r>
    </w:p>
    <w:p w:rsidR="00EC107A" w:rsidRPr="00EC107A" w:rsidRDefault="00EC107A" w:rsidP="00EC107A">
      <w:pPr>
        <w:pStyle w:val="Tekstpodstawowywcity"/>
        <w:numPr>
          <w:ilvl w:val="0"/>
          <w:numId w:val="40"/>
        </w:numPr>
        <w:spacing w:after="0" w:line="360" w:lineRule="auto"/>
        <w:jc w:val="both"/>
        <w:rPr>
          <w:color w:val="000000"/>
          <w:spacing w:val="-4"/>
        </w:rPr>
      </w:pPr>
      <w:r w:rsidRPr="00EC107A">
        <w:rPr>
          <w:color w:val="000000"/>
          <w:spacing w:val="-4"/>
        </w:rPr>
        <w:t xml:space="preserve">Wierzytelności tak zabezpieczone zaspokajane są z sumy uzyskanej ze sprzedaży przedmiotu zabezpieczenia, pomniejszonej o koszty związane ze sprzedażą. </w:t>
      </w:r>
    </w:p>
    <w:p w:rsidR="00EC107A" w:rsidRPr="00EC107A" w:rsidRDefault="00EC107A" w:rsidP="00EC107A">
      <w:pPr>
        <w:pStyle w:val="Tekstpodstawowywcity"/>
        <w:numPr>
          <w:ilvl w:val="0"/>
          <w:numId w:val="40"/>
        </w:numPr>
        <w:spacing w:after="0" w:line="360" w:lineRule="auto"/>
        <w:jc w:val="both"/>
        <w:rPr>
          <w:color w:val="000000"/>
          <w:spacing w:val="-4"/>
        </w:rPr>
      </w:pPr>
      <w:r w:rsidRPr="00EC107A">
        <w:rPr>
          <w:color w:val="000000"/>
          <w:spacing w:val="-4"/>
        </w:rPr>
        <w:t>Wierzytelności zabezpieczone wyżej wymienionymi prawami zaspokajane są w kolejności przysługującego im pierwszeństwa (prawo powstałe później nie może być wykonywane z uszczerbkiem dla prawa powstałego wcześniej).</w:t>
      </w:r>
    </w:p>
    <w:p w:rsidR="00EC107A" w:rsidRPr="00EC107A" w:rsidRDefault="00EC107A" w:rsidP="00EC107A">
      <w:pPr>
        <w:pStyle w:val="Tekstpodstawowywcity"/>
        <w:numPr>
          <w:ilvl w:val="0"/>
          <w:numId w:val="40"/>
        </w:numPr>
        <w:spacing w:after="0" w:line="360" w:lineRule="auto"/>
        <w:jc w:val="both"/>
        <w:rPr>
          <w:color w:val="000000"/>
          <w:spacing w:val="-4"/>
        </w:rPr>
      </w:pPr>
      <w:r w:rsidRPr="00EC107A">
        <w:rPr>
          <w:color w:val="000000"/>
          <w:spacing w:val="-4"/>
        </w:rPr>
        <w:t>Wraz z wierzytelnościami zaspokajane są odsetki objęte zabezpieczeniami oraz koszty postępowania w wysokości nie przekraczającej dziesiątej części kapitału</w:t>
      </w:r>
    </w:p>
    <w:p w:rsidR="00EC107A" w:rsidRPr="00EC107A" w:rsidRDefault="00EC107A" w:rsidP="00EC107A">
      <w:pPr>
        <w:pStyle w:val="Tekstpodstawowywcity"/>
        <w:numPr>
          <w:ilvl w:val="0"/>
          <w:numId w:val="40"/>
        </w:numPr>
        <w:spacing w:after="0" w:line="360" w:lineRule="auto"/>
        <w:jc w:val="both"/>
        <w:rPr>
          <w:color w:val="000000"/>
          <w:spacing w:val="-4"/>
        </w:rPr>
      </w:pPr>
      <w:r w:rsidRPr="00EC107A">
        <w:rPr>
          <w:color w:val="000000"/>
          <w:spacing w:val="-4"/>
        </w:rPr>
        <w:t>Zaspokojenie wierzytelności zabezpieczonych  hipoteką, zastawem, zastawem rejestrowym, zastawem skarbowym i hipoteką morską odbywa się na drodze odrębnego planu podziału.</w:t>
      </w:r>
    </w:p>
    <w:p w:rsidR="00EC107A" w:rsidRPr="00EC107A" w:rsidRDefault="00EC107A" w:rsidP="00EC107A">
      <w:pPr>
        <w:pStyle w:val="Tekstpodstawowywcity"/>
        <w:numPr>
          <w:ilvl w:val="0"/>
          <w:numId w:val="40"/>
        </w:numPr>
        <w:spacing w:after="0" w:line="360" w:lineRule="auto"/>
        <w:jc w:val="both"/>
        <w:rPr>
          <w:color w:val="000000"/>
          <w:spacing w:val="-4"/>
        </w:rPr>
      </w:pPr>
      <w:r w:rsidRPr="00EC107A">
        <w:rPr>
          <w:color w:val="000000"/>
          <w:spacing w:val="-4"/>
        </w:rPr>
        <w:t>Kwoty pozostałe po zaspokojeniu tych  wierzytelności wchodzą do funduszów masy upadłości i są dzielone według zasad ogólnych.</w:t>
      </w:r>
    </w:p>
    <w:p w:rsidR="00EC107A" w:rsidRPr="00EC107A" w:rsidRDefault="00EC107A" w:rsidP="00EC107A">
      <w:pPr>
        <w:pStyle w:val="Tekstpodstawowywcity"/>
        <w:numPr>
          <w:ilvl w:val="0"/>
          <w:numId w:val="40"/>
        </w:numPr>
        <w:spacing w:after="0" w:line="360" w:lineRule="auto"/>
        <w:jc w:val="both"/>
        <w:rPr>
          <w:color w:val="000000"/>
          <w:spacing w:val="-4"/>
        </w:rPr>
      </w:pPr>
      <w:r w:rsidRPr="00EC107A">
        <w:rPr>
          <w:color w:val="000000"/>
          <w:spacing w:val="-4"/>
        </w:rPr>
        <w:t xml:space="preserve">Gdy wierzytelności osobiste zabezpieczone hipoteką, zastawem, zastawem rejestrowym, zastawem skarbowym i hipoteką morską nie zostały zaspokojone z przedmiotu zabezpieczenia w całości, umieszcza się je w planie podziału funduszów masy upadłości </w:t>
      </w:r>
      <w:r w:rsidRPr="00EC107A">
        <w:rPr>
          <w:color w:val="000000"/>
          <w:spacing w:val="-4"/>
        </w:rPr>
        <w:lastRenderedPageBreak/>
        <w:t xml:space="preserve">w takiej sumie, w jakiej nie zostały zaspokojone i ta ich część jest zaspokajana na zasadach ogólnych. </w:t>
      </w:r>
    </w:p>
    <w:p w:rsidR="00EC107A" w:rsidRPr="00EC107A" w:rsidRDefault="00EC107A" w:rsidP="00EC107A">
      <w:pPr>
        <w:pStyle w:val="Tekstpodstawowywcity"/>
        <w:spacing w:after="0" w:line="360" w:lineRule="auto"/>
        <w:jc w:val="both"/>
        <w:rPr>
          <w:b/>
          <w:color w:val="000000"/>
          <w:spacing w:val="-4"/>
        </w:rPr>
      </w:pPr>
    </w:p>
    <w:p w:rsidR="00EC107A" w:rsidRPr="00EC107A" w:rsidRDefault="00EC107A" w:rsidP="00EC107A">
      <w:pPr>
        <w:pStyle w:val="Tekstpodstawowywcity"/>
        <w:spacing w:after="0" w:line="360" w:lineRule="auto"/>
        <w:jc w:val="both"/>
        <w:rPr>
          <w:color w:val="000000"/>
          <w:spacing w:val="-4"/>
        </w:rPr>
      </w:pPr>
      <w:r w:rsidRPr="00EC107A">
        <w:rPr>
          <w:color w:val="000000"/>
          <w:spacing w:val="-4"/>
        </w:rPr>
        <w:t>W przypadku wierzycieli nie korzystających z prawa odrębności, ich wierzytelności i należności podlegają zaspokojeniu z funduszów masy upadłości. Z funduszów masy zaspokajana jest także ta część wierzytelności zabezpieczonych prawem rzeczowym, która nie została zaspokojona z przedmiotu zabezpieczenia. Wszystkie te wierzytelności nie są zaspokajane jednocześnie i na równych zasadach, lecz dzielone są na cztery kategorie, określone w art. 342 ust. 1 PU:</w:t>
      </w:r>
    </w:p>
    <w:p w:rsidR="00EC107A" w:rsidRPr="00EC107A" w:rsidRDefault="00EC107A" w:rsidP="00EC107A">
      <w:pPr>
        <w:pStyle w:val="Tekstpodstawowywcity"/>
        <w:numPr>
          <w:ilvl w:val="0"/>
          <w:numId w:val="9"/>
        </w:numPr>
        <w:spacing w:after="0" w:line="360" w:lineRule="auto"/>
        <w:jc w:val="both"/>
        <w:rPr>
          <w:color w:val="000000"/>
          <w:spacing w:val="-4"/>
        </w:rPr>
      </w:pPr>
      <w:r w:rsidRPr="00EC107A">
        <w:rPr>
          <w:b/>
          <w:color w:val="000000"/>
          <w:spacing w:val="-4"/>
        </w:rPr>
        <w:t>kategoria pierwsza</w:t>
      </w:r>
      <w:r w:rsidRPr="00EC107A">
        <w:rPr>
          <w:color w:val="000000"/>
          <w:spacing w:val="-4"/>
        </w:rPr>
        <w:t xml:space="preserve"> – przypadające za czas przed ogłoszeniem upadłości należności ze stosunku pracy, z wyjątkiem roszczeń z tytułu wynagrodzenia reprezentanta upadłego lub wynagrodzenia osoby wykonującej czynności związane z zarządem lub nadzorem nad przedsiębiorstwem upadłego, należności rolników z tytułu umów o dostarczenie produktów z własnego gospodarstwa rolnego, należności alimentacyjne oraz renty z tytułu odszkodowania za wywołanie choroby, niezdolności do pracy, kalectwa lub śmierci i renty z tytułu zamiany uprawnień objętych treścią prawa dożywocia na dożywotnią rentę, przypadające za trzy ostatnie lata przed ogłoszeniem upadłości należności z tytułu składek na ubezpieczenia społeczne, oraz należności powstałe w postępowaniu restrukturyzacyjnym z czynności zarządcy albo należności powstałe z czynności dłużnika dokonanych po otwarciu postępowania restrukturyzacyjnego niewymagających zezwolenia rady wierzycieli albo zgody nadzorcy sądowego lub dokonanych za zezwoleniem rady wierzycieli albo zgodą nadzorcy sądowego, jeżeli upadłość ogłoszono w wyniku rozpoznania uproszczonego wniosku o ogłoszenie upadłości jak również należności z tytułu kredytu, pożyczki, obligacji, gwarancji lub akredytyw lub innego finansowania przewidzianego układem przyjętym w postępowaniu restrukturyzacyjnym i udzielonego w związku z wykonaniem takiego układu, jeżeli upadłość ogłoszono w wyniku rozpoznania wniosku o ogłoszenie upadłości złożonego nie później niż trzy miesiące po prawomocnym uchyleniu układu.</w:t>
      </w:r>
    </w:p>
    <w:p w:rsidR="00EC107A" w:rsidRPr="00EC107A" w:rsidRDefault="00EC107A" w:rsidP="00EC107A">
      <w:pPr>
        <w:pStyle w:val="Tekstpodstawowywcity"/>
        <w:numPr>
          <w:ilvl w:val="0"/>
          <w:numId w:val="9"/>
        </w:numPr>
        <w:spacing w:after="0" w:line="360" w:lineRule="auto"/>
        <w:jc w:val="both"/>
        <w:rPr>
          <w:color w:val="000000"/>
          <w:spacing w:val="-4"/>
        </w:rPr>
      </w:pPr>
      <w:r w:rsidRPr="00EC107A">
        <w:rPr>
          <w:b/>
          <w:color w:val="000000"/>
          <w:spacing w:val="-4"/>
        </w:rPr>
        <w:t xml:space="preserve">kategoria druga </w:t>
      </w:r>
      <w:r w:rsidRPr="00EC107A">
        <w:rPr>
          <w:color w:val="000000"/>
          <w:spacing w:val="-4"/>
        </w:rPr>
        <w:t>- inne należności, jeżeli nie podlegają zaspokojeniu w innych kategoriach, w szczególności podatki i inne daniny publiczne oraz pozostałe należności z tytułu składek na ubezpieczenie społeczne.</w:t>
      </w:r>
    </w:p>
    <w:p w:rsidR="00EC107A" w:rsidRPr="00EC107A" w:rsidRDefault="00EC107A" w:rsidP="00EC107A">
      <w:pPr>
        <w:pStyle w:val="Tekstpodstawowywcity"/>
        <w:numPr>
          <w:ilvl w:val="0"/>
          <w:numId w:val="9"/>
        </w:numPr>
        <w:spacing w:after="0" w:line="360" w:lineRule="auto"/>
        <w:jc w:val="both"/>
        <w:rPr>
          <w:color w:val="000000"/>
          <w:spacing w:val="-4"/>
        </w:rPr>
      </w:pPr>
      <w:r w:rsidRPr="00EC107A">
        <w:rPr>
          <w:b/>
          <w:color w:val="000000"/>
          <w:spacing w:val="-4"/>
        </w:rPr>
        <w:t>kategoria trzecia</w:t>
      </w:r>
      <w:r w:rsidRPr="00EC107A">
        <w:rPr>
          <w:color w:val="000000"/>
          <w:spacing w:val="-4"/>
        </w:rPr>
        <w:t xml:space="preserve"> - odsetki od należności ujętych w wyższych kategoriach w kolejności, w jakiej podlega zaspokojeniu kapitał, a także sądowe i administracyjne kary grzywny oraz należności z tytułu darowizn i zapisów;</w:t>
      </w:r>
    </w:p>
    <w:p w:rsidR="00EC107A" w:rsidRPr="00EC107A" w:rsidRDefault="00EC107A" w:rsidP="00EC107A">
      <w:pPr>
        <w:pStyle w:val="Tekstpodstawowywcity"/>
        <w:numPr>
          <w:ilvl w:val="0"/>
          <w:numId w:val="9"/>
        </w:numPr>
        <w:spacing w:after="0" w:line="360" w:lineRule="auto"/>
        <w:jc w:val="both"/>
        <w:rPr>
          <w:color w:val="000000"/>
          <w:spacing w:val="-4"/>
        </w:rPr>
      </w:pPr>
      <w:r w:rsidRPr="00EC107A">
        <w:rPr>
          <w:b/>
          <w:color w:val="000000"/>
          <w:spacing w:val="-4"/>
        </w:rPr>
        <w:lastRenderedPageBreak/>
        <w:t>kategoria czwarta</w:t>
      </w:r>
      <w:r w:rsidRPr="00EC107A">
        <w:rPr>
          <w:color w:val="000000"/>
          <w:spacing w:val="-4"/>
        </w:rPr>
        <w:t xml:space="preserve"> - należności wspólników albo akcjonariuszy z tytułu pożyczki lub innej czynności prawnej o podobnych skutkach, w szczególności dostawy towaru z odroczonym terminem płatności, dokonanej na rzecz upadłego będącego spółką kapitałową w okresie pięciu lat przed ogłoszeniem upadłości, wraz z odsetkami;</w:t>
      </w:r>
    </w:p>
    <w:p w:rsidR="00EC107A" w:rsidRPr="00EC107A" w:rsidRDefault="00EC107A" w:rsidP="00EC107A">
      <w:pPr>
        <w:pStyle w:val="Tekstpodstawowywcity"/>
        <w:spacing w:after="0" w:line="360" w:lineRule="auto"/>
        <w:ind w:left="0"/>
        <w:jc w:val="both"/>
        <w:rPr>
          <w:color w:val="000000"/>
          <w:spacing w:val="-4"/>
        </w:rPr>
      </w:pPr>
    </w:p>
    <w:p w:rsidR="00EC107A" w:rsidRPr="00EC107A" w:rsidRDefault="00EC107A" w:rsidP="00A461E1">
      <w:pPr>
        <w:pStyle w:val="Tekstpodstawowywcity"/>
        <w:spacing w:after="0" w:line="360" w:lineRule="auto"/>
        <w:jc w:val="both"/>
        <w:rPr>
          <w:color w:val="000000"/>
          <w:spacing w:val="-4"/>
        </w:rPr>
      </w:pPr>
      <w:r w:rsidRPr="00EC107A">
        <w:rPr>
          <w:color w:val="000000"/>
          <w:spacing w:val="-4"/>
        </w:rPr>
        <w:t>Podział sumy funduszów masy upadłości opiera się na następujących zasadach:</w:t>
      </w:r>
    </w:p>
    <w:p w:rsidR="00EC107A" w:rsidRPr="00EC107A" w:rsidRDefault="00EC107A" w:rsidP="00EC107A">
      <w:pPr>
        <w:pStyle w:val="Tekstpodstawowywcity"/>
        <w:numPr>
          <w:ilvl w:val="0"/>
          <w:numId w:val="42"/>
        </w:numPr>
        <w:spacing w:after="0" w:line="360" w:lineRule="auto"/>
        <w:jc w:val="both"/>
        <w:rPr>
          <w:color w:val="000000"/>
          <w:spacing w:val="-4"/>
        </w:rPr>
      </w:pPr>
      <w:r w:rsidRPr="00EC107A">
        <w:rPr>
          <w:color w:val="000000"/>
          <w:spacing w:val="-4"/>
        </w:rPr>
        <w:t>Jeżeli suma przeznaczona do podziału nie wystarcza na zaspokojenie w całości wszystkich należności, należności dalszej kategorii zaspokaja się dopiero po zaspokojeniu w całości wszystkich należności zaliczonych do kategorii poprzednich.</w:t>
      </w:r>
    </w:p>
    <w:p w:rsidR="00EC107A" w:rsidRPr="00EC107A" w:rsidRDefault="00EC107A" w:rsidP="00EC107A">
      <w:pPr>
        <w:pStyle w:val="Tekstpodstawowywcity"/>
        <w:numPr>
          <w:ilvl w:val="0"/>
          <w:numId w:val="42"/>
        </w:numPr>
        <w:spacing w:after="0" w:line="360" w:lineRule="auto"/>
        <w:jc w:val="both"/>
        <w:rPr>
          <w:color w:val="000000"/>
          <w:spacing w:val="-4"/>
        </w:rPr>
      </w:pPr>
      <w:r w:rsidRPr="00EC107A">
        <w:rPr>
          <w:color w:val="000000"/>
          <w:spacing w:val="-4"/>
        </w:rPr>
        <w:t xml:space="preserve">Gdy majątek nie wystarcza na zaspokojenie wszystkich należności tej samej kategorii, należności te zaspokaja się proporcjonalnie do wysokości każdej z nich – a zatem wszyscy wierzyciele z danej  kategorii otrzymują taki sam procent swojej należności. </w:t>
      </w:r>
    </w:p>
    <w:p w:rsidR="00EC107A" w:rsidRPr="00EC107A" w:rsidRDefault="00EC107A" w:rsidP="00EC107A">
      <w:pPr>
        <w:pStyle w:val="Tekstpodstawowywcity"/>
        <w:spacing w:after="0" w:line="360" w:lineRule="auto"/>
        <w:ind w:left="0"/>
        <w:jc w:val="both"/>
        <w:rPr>
          <w:color w:val="000000"/>
          <w:spacing w:val="-4"/>
        </w:rPr>
      </w:pPr>
    </w:p>
    <w:p w:rsidR="00EC107A" w:rsidRPr="00EC107A" w:rsidRDefault="00EC107A" w:rsidP="00EC107A">
      <w:pPr>
        <w:pStyle w:val="Tekstpodstawowywcity"/>
        <w:spacing w:after="0" w:line="360" w:lineRule="auto"/>
        <w:jc w:val="both"/>
        <w:rPr>
          <w:color w:val="000000"/>
          <w:spacing w:val="-4"/>
        </w:rPr>
      </w:pPr>
      <w:r w:rsidRPr="00EC107A">
        <w:rPr>
          <w:color w:val="000000"/>
          <w:spacing w:val="-4"/>
        </w:rPr>
        <w:tab/>
        <w:t>Po podziale całości funduszów masy upadłości pomiędzy wierzycieli upadłego następuje zakończenie postępowania upadłościowego. W przypadku dłużnika będącego osobą prawną lub jednostką organizacyjną nie posiadającą osobowości prawnej, której przepisy szczególne przyznają zdolność prawną, syndyk składa wniosek o jej wykreślenie z właściwego rejestru – a zatem podmiot taki przestaje istnieć.</w:t>
      </w:r>
    </w:p>
    <w:p w:rsidR="00EC107A" w:rsidRPr="00EC107A" w:rsidRDefault="00EC107A" w:rsidP="00EC107A">
      <w:pPr>
        <w:pStyle w:val="Tekstpodstawowywcity"/>
        <w:spacing w:after="0" w:line="360" w:lineRule="auto"/>
        <w:jc w:val="both"/>
        <w:rPr>
          <w:color w:val="000000"/>
          <w:spacing w:val="-4"/>
        </w:rPr>
      </w:pPr>
      <w:r w:rsidRPr="00EC107A">
        <w:rPr>
          <w:color w:val="000000"/>
          <w:spacing w:val="-4"/>
        </w:rPr>
        <w:tab/>
      </w:r>
    </w:p>
    <w:p w:rsidR="00EC107A" w:rsidRPr="00EC107A" w:rsidRDefault="00EC107A" w:rsidP="00EC107A">
      <w:pPr>
        <w:pStyle w:val="Tekstpodstawowywcity"/>
        <w:spacing w:after="0" w:line="360" w:lineRule="auto"/>
        <w:ind w:left="0"/>
        <w:jc w:val="both"/>
        <w:rPr>
          <w:color w:val="000000"/>
          <w:spacing w:val="-4"/>
        </w:rPr>
      </w:pPr>
    </w:p>
    <w:sectPr w:rsidR="00EC107A" w:rsidRPr="00EC107A" w:rsidSect="00CC7B2F">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3983" w:rsidRDefault="003B3983">
      <w:r>
        <w:separator/>
      </w:r>
    </w:p>
  </w:endnote>
  <w:endnote w:type="continuationSeparator" w:id="0">
    <w:p w:rsidR="003B3983" w:rsidRDefault="003B398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933" w:rsidRDefault="00C44023">
    <w:pPr>
      <w:pStyle w:val="Stopka"/>
    </w:pPr>
    <w:fldSimple w:instr=" PAGE   \* MERGEFORMAT ">
      <w:r w:rsidR="00A461E1">
        <w:rPr>
          <w:noProof/>
        </w:rPr>
        <w:t>10</w:t>
      </w:r>
    </w:fldSimple>
  </w:p>
  <w:p w:rsidR="008D6933" w:rsidRDefault="008D6933">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3983" w:rsidRDefault="003B3983">
      <w:r>
        <w:separator/>
      </w:r>
    </w:p>
  </w:footnote>
  <w:footnote w:type="continuationSeparator" w:id="0">
    <w:p w:rsidR="003B3983" w:rsidRDefault="003B39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50232"/>
    <w:multiLevelType w:val="hybridMultilevel"/>
    <w:tmpl w:val="E7D208D6"/>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
    <w:nsid w:val="0CA00186"/>
    <w:multiLevelType w:val="hybridMultilevel"/>
    <w:tmpl w:val="5002CA16"/>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nsid w:val="0D577205"/>
    <w:multiLevelType w:val="hybridMultilevel"/>
    <w:tmpl w:val="1856DE1A"/>
    <w:lvl w:ilvl="0" w:tplc="0415000F">
      <w:start w:val="1"/>
      <w:numFmt w:val="decimal"/>
      <w:lvlText w:val="%1."/>
      <w:lvlJc w:val="left"/>
      <w:pPr>
        <w:tabs>
          <w:tab w:val="num" w:pos="720"/>
        </w:tabs>
        <w:ind w:left="720"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0DA70256"/>
    <w:multiLevelType w:val="hybridMultilevel"/>
    <w:tmpl w:val="87D200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9F6B76"/>
    <w:multiLevelType w:val="hybridMultilevel"/>
    <w:tmpl w:val="B42A241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nsid w:val="106947AF"/>
    <w:multiLevelType w:val="hybridMultilevel"/>
    <w:tmpl w:val="DE3C3052"/>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6">
    <w:nsid w:val="109D7AE5"/>
    <w:multiLevelType w:val="hybridMultilevel"/>
    <w:tmpl w:val="0A68812C"/>
    <w:lvl w:ilvl="0" w:tplc="53765D9A">
      <w:start w:val="1"/>
      <w:numFmt w:val="decimal"/>
      <w:lvlText w:val="%1)"/>
      <w:lvlJc w:val="left"/>
      <w:pPr>
        <w:tabs>
          <w:tab w:val="num" w:pos="795"/>
        </w:tabs>
        <w:ind w:left="795" w:hanging="43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1FB01D7"/>
    <w:multiLevelType w:val="hybridMultilevel"/>
    <w:tmpl w:val="A626AE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5E761D1"/>
    <w:multiLevelType w:val="multilevel"/>
    <w:tmpl w:val="00000006"/>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9">
    <w:nsid w:val="1A90439E"/>
    <w:multiLevelType w:val="hybridMultilevel"/>
    <w:tmpl w:val="AB2C5F12"/>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B925E73"/>
    <w:multiLevelType w:val="hybridMultilevel"/>
    <w:tmpl w:val="3D983D78"/>
    <w:lvl w:ilvl="0" w:tplc="0415000F">
      <w:start w:val="1"/>
      <w:numFmt w:val="decimal"/>
      <w:lvlText w:val="%1."/>
      <w:lvlJc w:val="left"/>
      <w:pPr>
        <w:tabs>
          <w:tab w:val="num" w:pos="720"/>
        </w:tabs>
        <w:ind w:left="720"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nsid w:val="20DC57DC"/>
    <w:multiLevelType w:val="hybridMultilevel"/>
    <w:tmpl w:val="CA42D6CA"/>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nsid w:val="21044ED6"/>
    <w:multiLevelType w:val="hybridMultilevel"/>
    <w:tmpl w:val="6CF6A8BA"/>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3">
    <w:nsid w:val="27B90E0F"/>
    <w:multiLevelType w:val="multilevel"/>
    <w:tmpl w:val="00000006"/>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4">
    <w:nsid w:val="2A19356A"/>
    <w:multiLevelType w:val="hybridMultilevel"/>
    <w:tmpl w:val="1F428D76"/>
    <w:lvl w:ilvl="0" w:tplc="04150001">
      <w:start w:val="1"/>
      <w:numFmt w:val="bullet"/>
      <w:lvlText w:val=""/>
      <w:lvlJc w:val="left"/>
      <w:pPr>
        <w:tabs>
          <w:tab w:val="num" w:pos="1080"/>
        </w:tabs>
        <w:ind w:left="1080" w:hanging="360"/>
      </w:pPr>
      <w:rPr>
        <w:rFonts w:ascii="Symbol" w:hAnsi="Symbol" w:hint="default"/>
      </w:rPr>
    </w:lvl>
    <w:lvl w:ilvl="1" w:tplc="0415000F">
      <w:start w:val="1"/>
      <w:numFmt w:val="decimal"/>
      <w:lvlText w:val="%2."/>
      <w:lvlJc w:val="left"/>
      <w:pPr>
        <w:tabs>
          <w:tab w:val="num" w:pos="1800"/>
        </w:tabs>
        <w:ind w:left="1800" w:hanging="360"/>
      </w:pPr>
      <w:rPr>
        <w:rFonts w:hint="default"/>
      </w:rPr>
    </w:lvl>
    <w:lvl w:ilvl="2" w:tplc="5BC86E58">
      <w:start w:val="4"/>
      <w:numFmt w:val="decimal"/>
      <w:lvlText w:val="%3"/>
      <w:lvlJc w:val="left"/>
      <w:pPr>
        <w:tabs>
          <w:tab w:val="num" w:pos="2820"/>
        </w:tabs>
        <w:ind w:left="2820" w:hanging="660"/>
      </w:pPr>
      <w:rPr>
        <w:rFont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5">
    <w:nsid w:val="2B3E2B37"/>
    <w:multiLevelType w:val="hybridMultilevel"/>
    <w:tmpl w:val="280C987A"/>
    <w:lvl w:ilvl="0" w:tplc="0415000F">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nsid w:val="2D4456CD"/>
    <w:multiLevelType w:val="hybridMultilevel"/>
    <w:tmpl w:val="59F2083C"/>
    <w:lvl w:ilvl="0" w:tplc="0415000F">
      <w:start w:val="1"/>
      <w:numFmt w:val="decimal"/>
      <w:lvlText w:val="%1."/>
      <w:lvlJc w:val="left"/>
      <w:pPr>
        <w:tabs>
          <w:tab w:val="num" w:pos="720"/>
        </w:tabs>
        <w:ind w:left="720" w:hanging="360"/>
      </w:pPr>
    </w:lvl>
    <w:lvl w:ilvl="1" w:tplc="689E10F0">
      <w:start w:val="1"/>
      <w:numFmt w:val="decimal"/>
      <w:lvlText w:val="%2)"/>
      <w:lvlJc w:val="left"/>
      <w:pPr>
        <w:tabs>
          <w:tab w:val="num" w:pos="885"/>
        </w:tabs>
        <w:ind w:left="885" w:hanging="52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32CE3CE9"/>
    <w:multiLevelType w:val="multilevel"/>
    <w:tmpl w:val="8FE01E58"/>
    <w:lvl w:ilvl="0">
      <w:start w:val="1"/>
      <w:numFmt w:val="decimal"/>
      <w:lvlText w:val="%1&gt;"/>
      <w:lvlJc w:val="left"/>
      <w:pPr>
        <w:tabs>
          <w:tab w:val="num" w:pos="720"/>
        </w:tabs>
        <w:ind w:left="720" w:hanging="360"/>
      </w:pPr>
      <w:rPr>
        <w:rFonts w:ascii="Times New Roman" w:eastAsia="Times New Roman" w:hAnsi="Times New Roman" w:cs="Times New Roman"/>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3BE62A32"/>
    <w:multiLevelType w:val="hybridMultilevel"/>
    <w:tmpl w:val="B3F07308"/>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F334F19"/>
    <w:multiLevelType w:val="hybridMultilevel"/>
    <w:tmpl w:val="FAD21098"/>
    <w:lvl w:ilvl="0" w:tplc="DF8E0526">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25E5333"/>
    <w:multiLevelType w:val="hybridMultilevel"/>
    <w:tmpl w:val="25CA339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nsid w:val="44BA5BCE"/>
    <w:multiLevelType w:val="hybridMultilevel"/>
    <w:tmpl w:val="BE900D38"/>
    <w:lvl w:ilvl="0" w:tplc="0415000F">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nsid w:val="48AB1AED"/>
    <w:multiLevelType w:val="multilevel"/>
    <w:tmpl w:val="00000006"/>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3">
    <w:nsid w:val="4A294E9D"/>
    <w:multiLevelType w:val="hybridMultilevel"/>
    <w:tmpl w:val="29C4888E"/>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nsid w:val="4B565843"/>
    <w:multiLevelType w:val="hybridMultilevel"/>
    <w:tmpl w:val="AB0EBFEC"/>
    <w:lvl w:ilvl="0" w:tplc="0415000F">
      <w:start w:val="1"/>
      <w:numFmt w:val="decimal"/>
      <w:lvlText w:val="%1."/>
      <w:lvlJc w:val="left"/>
      <w:pPr>
        <w:tabs>
          <w:tab w:val="num" w:pos="720"/>
        </w:tabs>
        <w:ind w:left="720"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nsid w:val="4C603DAD"/>
    <w:multiLevelType w:val="hybridMultilevel"/>
    <w:tmpl w:val="B03C9062"/>
    <w:lvl w:ilvl="0" w:tplc="902EB9F2">
      <w:start w:val="1"/>
      <w:numFmt w:val="bullet"/>
      <w:lvlText w:val=""/>
      <w:lvlJc w:val="left"/>
      <w:pPr>
        <w:tabs>
          <w:tab w:val="num" w:pos="720"/>
        </w:tabs>
        <w:ind w:left="720" w:hanging="360"/>
      </w:pPr>
      <w:rPr>
        <w:rFonts w:ascii="Wingdings" w:hAnsi="Wingdings" w:hint="default"/>
      </w:rPr>
    </w:lvl>
    <w:lvl w:ilvl="1" w:tplc="EEC20742" w:tentative="1">
      <w:start w:val="1"/>
      <w:numFmt w:val="bullet"/>
      <w:lvlText w:val=""/>
      <w:lvlJc w:val="left"/>
      <w:pPr>
        <w:tabs>
          <w:tab w:val="num" w:pos="1440"/>
        </w:tabs>
        <w:ind w:left="1440" w:hanging="360"/>
      </w:pPr>
      <w:rPr>
        <w:rFonts w:ascii="Wingdings" w:hAnsi="Wingdings" w:hint="default"/>
      </w:rPr>
    </w:lvl>
    <w:lvl w:ilvl="2" w:tplc="AB5EEAC8" w:tentative="1">
      <w:start w:val="1"/>
      <w:numFmt w:val="bullet"/>
      <w:lvlText w:val=""/>
      <w:lvlJc w:val="left"/>
      <w:pPr>
        <w:tabs>
          <w:tab w:val="num" w:pos="2160"/>
        </w:tabs>
        <w:ind w:left="2160" w:hanging="360"/>
      </w:pPr>
      <w:rPr>
        <w:rFonts w:ascii="Wingdings" w:hAnsi="Wingdings" w:hint="default"/>
      </w:rPr>
    </w:lvl>
    <w:lvl w:ilvl="3" w:tplc="95D8F430" w:tentative="1">
      <w:start w:val="1"/>
      <w:numFmt w:val="bullet"/>
      <w:lvlText w:val=""/>
      <w:lvlJc w:val="left"/>
      <w:pPr>
        <w:tabs>
          <w:tab w:val="num" w:pos="2880"/>
        </w:tabs>
        <w:ind w:left="2880" w:hanging="360"/>
      </w:pPr>
      <w:rPr>
        <w:rFonts w:ascii="Wingdings" w:hAnsi="Wingdings" w:hint="default"/>
      </w:rPr>
    </w:lvl>
    <w:lvl w:ilvl="4" w:tplc="6F5A407C" w:tentative="1">
      <w:start w:val="1"/>
      <w:numFmt w:val="bullet"/>
      <w:lvlText w:val=""/>
      <w:lvlJc w:val="left"/>
      <w:pPr>
        <w:tabs>
          <w:tab w:val="num" w:pos="3600"/>
        </w:tabs>
        <w:ind w:left="3600" w:hanging="360"/>
      </w:pPr>
      <w:rPr>
        <w:rFonts w:ascii="Wingdings" w:hAnsi="Wingdings" w:hint="default"/>
      </w:rPr>
    </w:lvl>
    <w:lvl w:ilvl="5" w:tplc="4C78F17C" w:tentative="1">
      <w:start w:val="1"/>
      <w:numFmt w:val="bullet"/>
      <w:lvlText w:val=""/>
      <w:lvlJc w:val="left"/>
      <w:pPr>
        <w:tabs>
          <w:tab w:val="num" w:pos="4320"/>
        </w:tabs>
        <w:ind w:left="4320" w:hanging="360"/>
      </w:pPr>
      <w:rPr>
        <w:rFonts w:ascii="Wingdings" w:hAnsi="Wingdings" w:hint="default"/>
      </w:rPr>
    </w:lvl>
    <w:lvl w:ilvl="6" w:tplc="C276BA00" w:tentative="1">
      <w:start w:val="1"/>
      <w:numFmt w:val="bullet"/>
      <w:lvlText w:val=""/>
      <w:lvlJc w:val="left"/>
      <w:pPr>
        <w:tabs>
          <w:tab w:val="num" w:pos="5040"/>
        </w:tabs>
        <w:ind w:left="5040" w:hanging="360"/>
      </w:pPr>
      <w:rPr>
        <w:rFonts w:ascii="Wingdings" w:hAnsi="Wingdings" w:hint="default"/>
      </w:rPr>
    </w:lvl>
    <w:lvl w:ilvl="7" w:tplc="4284497E" w:tentative="1">
      <w:start w:val="1"/>
      <w:numFmt w:val="bullet"/>
      <w:lvlText w:val=""/>
      <w:lvlJc w:val="left"/>
      <w:pPr>
        <w:tabs>
          <w:tab w:val="num" w:pos="5760"/>
        </w:tabs>
        <w:ind w:left="5760" w:hanging="360"/>
      </w:pPr>
      <w:rPr>
        <w:rFonts w:ascii="Wingdings" w:hAnsi="Wingdings" w:hint="default"/>
      </w:rPr>
    </w:lvl>
    <w:lvl w:ilvl="8" w:tplc="FF76176A" w:tentative="1">
      <w:start w:val="1"/>
      <w:numFmt w:val="bullet"/>
      <w:lvlText w:val=""/>
      <w:lvlJc w:val="left"/>
      <w:pPr>
        <w:tabs>
          <w:tab w:val="num" w:pos="6480"/>
        </w:tabs>
        <w:ind w:left="6480" w:hanging="360"/>
      </w:pPr>
      <w:rPr>
        <w:rFonts w:ascii="Wingdings" w:hAnsi="Wingdings" w:hint="default"/>
      </w:rPr>
    </w:lvl>
  </w:abstractNum>
  <w:abstractNum w:abstractNumId="26">
    <w:nsid w:val="4C8016BB"/>
    <w:multiLevelType w:val="hybridMultilevel"/>
    <w:tmpl w:val="7EB0B26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nsid w:val="4DF15E14"/>
    <w:multiLevelType w:val="hybridMultilevel"/>
    <w:tmpl w:val="E9AE49C2"/>
    <w:lvl w:ilvl="0" w:tplc="0415000F">
      <w:start w:val="1"/>
      <w:numFmt w:val="decimal"/>
      <w:lvlText w:val="%1."/>
      <w:lvlJc w:val="left"/>
      <w:pPr>
        <w:tabs>
          <w:tab w:val="num" w:pos="720"/>
        </w:tabs>
        <w:ind w:left="720"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nsid w:val="54FB5B3E"/>
    <w:multiLevelType w:val="multilevel"/>
    <w:tmpl w:val="00000006"/>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9">
    <w:nsid w:val="5580627A"/>
    <w:multiLevelType w:val="hybridMultilevel"/>
    <w:tmpl w:val="062638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9364485"/>
    <w:multiLevelType w:val="multilevel"/>
    <w:tmpl w:val="C0668B26"/>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1">
    <w:nsid w:val="5C527E8D"/>
    <w:multiLevelType w:val="hybridMultilevel"/>
    <w:tmpl w:val="AA2E56F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0B84B10"/>
    <w:multiLevelType w:val="hybridMultilevel"/>
    <w:tmpl w:val="CE621570"/>
    <w:lvl w:ilvl="0" w:tplc="04150011">
      <w:start w:val="1"/>
      <w:numFmt w:val="decimal"/>
      <w:lvlText w:val="%1)"/>
      <w:lvlJc w:val="left"/>
      <w:pPr>
        <w:tabs>
          <w:tab w:val="num" w:pos="720"/>
        </w:tabs>
        <w:ind w:left="720" w:hanging="360"/>
      </w:pPr>
    </w:lvl>
    <w:lvl w:ilvl="1" w:tplc="7026E042" w:tentative="1">
      <w:start w:val="1"/>
      <w:numFmt w:val="bullet"/>
      <w:lvlText w:val=""/>
      <w:lvlJc w:val="left"/>
      <w:pPr>
        <w:tabs>
          <w:tab w:val="num" w:pos="1440"/>
        </w:tabs>
        <w:ind w:left="1440" w:hanging="360"/>
      </w:pPr>
      <w:rPr>
        <w:rFonts w:ascii="Wingdings" w:hAnsi="Wingdings" w:hint="default"/>
      </w:rPr>
    </w:lvl>
    <w:lvl w:ilvl="2" w:tplc="BE7E74A6" w:tentative="1">
      <w:start w:val="1"/>
      <w:numFmt w:val="bullet"/>
      <w:lvlText w:val=""/>
      <w:lvlJc w:val="left"/>
      <w:pPr>
        <w:tabs>
          <w:tab w:val="num" w:pos="2160"/>
        </w:tabs>
        <w:ind w:left="2160" w:hanging="360"/>
      </w:pPr>
      <w:rPr>
        <w:rFonts w:ascii="Wingdings" w:hAnsi="Wingdings" w:hint="default"/>
      </w:rPr>
    </w:lvl>
    <w:lvl w:ilvl="3" w:tplc="99F24EF8" w:tentative="1">
      <w:start w:val="1"/>
      <w:numFmt w:val="bullet"/>
      <w:lvlText w:val=""/>
      <w:lvlJc w:val="left"/>
      <w:pPr>
        <w:tabs>
          <w:tab w:val="num" w:pos="2880"/>
        </w:tabs>
        <w:ind w:left="2880" w:hanging="360"/>
      </w:pPr>
      <w:rPr>
        <w:rFonts w:ascii="Wingdings" w:hAnsi="Wingdings" w:hint="default"/>
      </w:rPr>
    </w:lvl>
    <w:lvl w:ilvl="4" w:tplc="E4680594" w:tentative="1">
      <w:start w:val="1"/>
      <w:numFmt w:val="bullet"/>
      <w:lvlText w:val=""/>
      <w:lvlJc w:val="left"/>
      <w:pPr>
        <w:tabs>
          <w:tab w:val="num" w:pos="3600"/>
        </w:tabs>
        <w:ind w:left="3600" w:hanging="360"/>
      </w:pPr>
      <w:rPr>
        <w:rFonts w:ascii="Wingdings" w:hAnsi="Wingdings" w:hint="default"/>
      </w:rPr>
    </w:lvl>
    <w:lvl w:ilvl="5" w:tplc="567428D4" w:tentative="1">
      <w:start w:val="1"/>
      <w:numFmt w:val="bullet"/>
      <w:lvlText w:val=""/>
      <w:lvlJc w:val="left"/>
      <w:pPr>
        <w:tabs>
          <w:tab w:val="num" w:pos="4320"/>
        </w:tabs>
        <w:ind w:left="4320" w:hanging="360"/>
      </w:pPr>
      <w:rPr>
        <w:rFonts w:ascii="Wingdings" w:hAnsi="Wingdings" w:hint="default"/>
      </w:rPr>
    </w:lvl>
    <w:lvl w:ilvl="6" w:tplc="B8E6020A" w:tentative="1">
      <w:start w:val="1"/>
      <w:numFmt w:val="bullet"/>
      <w:lvlText w:val=""/>
      <w:lvlJc w:val="left"/>
      <w:pPr>
        <w:tabs>
          <w:tab w:val="num" w:pos="5040"/>
        </w:tabs>
        <w:ind w:left="5040" w:hanging="360"/>
      </w:pPr>
      <w:rPr>
        <w:rFonts w:ascii="Wingdings" w:hAnsi="Wingdings" w:hint="default"/>
      </w:rPr>
    </w:lvl>
    <w:lvl w:ilvl="7" w:tplc="9156029A" w:tentative="1">
      <w:start w:val="1"/>
      <w:numFmt w:val="bullet"/>
      <w:lvlText w:val=""/>
      <w:lvlJc w:val="left"/>
      <w:pPr>
        <w:tabs>
          <w:tab w:val="num" w:pos="5760"/>
        </w:tabs>
        <w:ind w:left="5760" w:hanging="360"/>
      </w:pPr>
      <w:rPr>
        <w:rFonts w:ascii="Wingdings" w:hAnsi="Wingdings" w:hint="default"/>
      </w:rPr>
    </w:lvl>
    <w:lvl w:ilvl="8" w:tplc="4748081E" w:tentative="1">
      <w:start w:val="1"/>
      <w:numFmt w:val="bullet"/>
      <w:lvlText w:val=""/>
      <w:lvlJc w:val="left"/>
      <w:pPr>
        <w:tabs>
          <w:tab w:val="num" w:pos="6480"/>
        </w:tabs>
        <w:ind w:left="6480" w:hanging="360"/>
      </w:pPr>
      <w:rPr>
        <w:rFonts w:ascii="Wingdings" w:hAnsi="Wingdings" w:hint="default"/>
      </w:rPr>
    </w:lvl>
  </w:abstractNum>
  <w:abstractNum w:abstractNumId="33">
    <w:nsid w:val="6ABE4B49"/>
    <w:multiLevelType w:val="hybridMultilevel"/>
    <w:tmpl w:val="EC9823C0"/>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nsid w:val="6AEA5463"/>
    <w:multiLevelType w:val="multilevel"/>
    <w:tmpl w:val="00000006"/>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5">
    <w:nsid w:val="6BDC2E6A"/>
    <w:multiLevelType w:val="hybridMultilevel"/>
    <w:tmpl w:val="9E021CD8"/>
    <w:lvl w:ilvl="0" w:tplc="14EE3118">
      <w:start w:val="1"/>
      <w:numFmt w:val="bullet"/>
      <w:lvlText w:val=""/>
      <w:lvlJc w:val="left"/>
      <w:pPr>
        <w:tabs>
          <w:tab w:val="num" w:pos="720"/>
        </w:tabs>
        <w:ind w:left="720" w:hanging="360"/>
      </w:pPr>
      <w:rPr>
        <w:rFonts w:ascii="Wingdings" w:hAnsi="Wingdings" w:hint="default"/>
      </w:rPr>
    </w:lvl>
    <w:lvl w:ilvl="1" w:tplc="B1908AA8" w:tentative="1">
      <w:start w:val="1"/>
      <w:numFmt w:val="bullet"/>
      <w:lvlText w:val=""/>
      <w:lvlJc w:val="left"/>
      <w:pPr>
        <w:tabs>
          <w:tab w:val="num" w:pos="1440"/>
        </w:tabs>
        <w:ind w:left="1440" w:hanging="360"/>
      </w:pPr>
      <w:rPr>
        <w:rFonts w:ascii="Wingdings" w:hAnsi="Wingdings" w:hint="default"/>
      </w:rPr>
    </w:lvl>
    <w:lvl w:ilvl="2" w:tplc="B14653FE" w:tentative="1">
      <w:start w:val="1"/>
      <w:numFmt w:val="bullet"/>
      <w:lvlText w:val=""/>
      <w:lvlJc w:val="left"/>
      <w:pPr>
        <w:tabs>
          <w:tab w:val="num" w:pos="2160"/>
        </w:tabs>
        <w:ind w:left="2160" w:hanging="360"/>
      </w:pPr>
      <w:rPr>
        <w:rFonts w:ascii="Wingdings" w:hAnsi="Wingdings" w:hint="default"/>
      </w:rPr>
    </w:lvl>
    <w:lvl w:ilvl="3" w:tplc="9C4EE8AC" w:tentative="1">
      <w:start w:val="1"/>
      <w:numFmt w:val="bullet"/>
      <w:lvlText w:val=""/>
      <w:lvlJc w:val="left"/>
      <w:pPr>
        <w:tabs>
          <w:tab w:val="num" w:pos="2880"/>
        </w:tabs>
        <w:ind w:left="2880" w:hanging="360"/>
      </w:pPr>
      <w:rPr>
        <w:rFonts w:ascii="Wingdings" w:hAnsi="Wingdings" w:hint="default"/>
      </w:rPr>
    </w:lvl>
    <w:lvl w:ilvl="4" w:tplc="9A6E0586" w:tentative="1">
      <w:start w:val="1"/>
      <w:numFmt w:val="bullet"/>
      <w:lvlText w:val=""/>
      <w:lvlJc w:val="left"/>
      <w:pPr>
        <w:tabs>
          <w:tab w:val="num" w:pos="3600"/>
        </w:tabs>
        <w:ind w:left="3600" w:hanging="360"/>
      </w:pPr>
      <w:rPr>
        <w:rFonts w:ascii="Wingdings" w:hAnsi="Wingdings" w:hint="default"/>
      </w:rPr>
    </w:lvl>
    <w:lvl w:ilvl="5" w:tplc="3D16EA26" w:tentative="1">
      <w:start w:val="1"/>
      <w:numFmt w:val="bullet"/>
      <w:lvlText w:val=""/>
      <w:lvlJc w:val="left"/>
      <w:pPr>
        <w:tabs>
          <w:tab w:val="num" w:pos="4320"/>
        </w:tabs>
        <w:ind w:left="4320" w:hanging="360"/>
      </w:pPr>
      <w:rPr>
        <w:rFonts w:ascii="Wingdings" w:hAnsi="Wingdings" w:hint="default"/>
      </w:rPr>
    </w:lvl>
    <w:lvl w:ilvl="6" w:tplc="6896B966" w:tentative="1">
      <w:start w:val="1"/>
      <w:numFmt w:val="bullet"/>
      <w:lvlText w:val=""/>
      <w:lvlJc w:val="left"/>
      <w:pPr>
        <w:tabs>
          <w:tab w:val="num" w:pos="5040"/>
        </w:tabs>
        <w:ind w:left="5040" w:hanging="360"/>
      </w:pPr>
      <w:rPr>
        <w:rFonts w:ascii="Wingdings" w:hAnsi="Wingdings" w:hint="default"/>
      </w:rPr>
    </w:lvl>
    <w:lvl w:ilvl="7" w:tplc="F886BE5A" w:tentative="1">
      <w:start w:val="1"/>
      <w:numFmt w:val="bullet"/>
      <w:lvlText w:val=""/>
      <w:lvlJc w:val="left"/>
      <w:pPr>
        <w:tabs>
          <w:tab w:val="num" w:pos="5760"/>
        </w:tabs>
        <w:ind w:left="5760" w:hanging="360"/>
      </w:pPr>
      <w:rPr>
        <w:rFonts w:ascii="Wingdings" w:hAnsi="Wingdings" w:hint="default"/>
      </w:rPr>
    </w:lvl>
    <w:lvl w:ilvl="8" w:tplc="1824A5D0" w:tentative="1">
      <w:start w:val="1"/>
      <w:numFmt w:val="bullet"/>
      <w:lvlText w:val=""/>
      <w:lvlJc w:val="left"/>
      <w:pPr>
        <w:tabs>
          <w:tab w:val="num" w:pos="6480"/>
        </w:tabs>
        <w:ind w:left="6480" w:hanging="360"/>
      </w:pPr>
      <w:rPr>
        <w:rFonts w:ascii="Wingdings" w:hAnsi="Wingdings" w:hint="default"/>
      </w:rPr>
    </w:lvl>
  </w:abstractNum>
  <w:abstractNum w:abstractNumId="36">
    <w:nsid w:val="70942721"/>
    <w:multiLevelType w:val="hybridMultilevel"/>
    <w:tmpl w:val="A95C983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70E24ED0"/>
    <w:multiLevelType w:val="hybridMultilevel"/>
    <w:tmpl w:val="78CA55A4"/>
    <w:lvl w:ilvl="0" w:tplc="0415000B">
      <w:start w:val="1"/>
      <w:numFmt w:val="bullet"/>
      <w:lvlText w:val=""/>
      <w:lvlJc w:val="left"/>
      <w:pPr>
        <w:tabs>
          <w:tab w:val="num" w:pos="1080"/>
        </w:tabs>
        <w:ind w:left="108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8">
    <w:nsid w:val="78E24740"/>
    <w:multiLevelType w:val="hybridMultilevel"/>
    <w:tmpl w:val="2870DED2"/>
    <w:lvl w:ilvl="0" w:tplc="0415000F">
      <w:start w:val="1"/>
      <w:numFmt w:val="decimal"/>
      <w:lvlText w:val="%1."/>
      <w:lvlJc w:val="left"/>
      <w:pPr>
        <w:tabs>
          <w:tab w:val="num" w:pos="720"/>
        </w:tabs>
        <w:ind w:left="720" w:hanging="360"/>
      </w:pPr>
      <w:rPr>
        <w:rFonts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9">
    <w:nsid w:val="79481190"/>
    <w:multiLevelType w:val="hybridMultilevel"/>
    <w:tmpl w:val="7F92A330"/>
    <w:lvl w:ilvl="0" w:tplc="E550F21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nsid w:val="79766E2B"/>
    <w:multiLevelType w:val="hybridMultilevel"/>
    <w:tmpl w:val="6BEA8932"/>
    <w:lvl w:ilvl="0" w:tplc="0415000F">
      <w:start w:val="1"/>
      <w:numFmt w:val="decimal"/>
      <w:lvlText w:val="%1."/>
      <w:lvlJc w:val="left"/>
      <w:pPr>
        <w:tabs>
          <w:tab w:val="num" w:pos="720"/>
        </w:tabs>
        <w:ind w:left="720"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1">
    <w:nsid w:val="7AB4120B"/>
    <w:multiLevelType w:val="hybridMultilevel"/>
    <w:tmpl w:val="B7C23A30"/>
    <w:lvl w:ilvl="0" w:tplc="0415000B">
      <w:start w:val="1"/>
      <w:numFmt w:val="bullet"/>
      <w:lvlText w:val=""/>
      <w:lvlJc w:val="left"/>
      <w:pPr>
        <w:tabs>
          <w:tab w:val="num" w:pos="1080"/>
        </w:tabs>
        <w:ind w:left="108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2">
    <w:nsid w:val="7E6944B2"/>
    <w:multiLevelType w:val="multilevel"/>
    <w:tmpl w:val="6332D56A"/>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num w:numId="1">
    <w:abstractNumId w:val="4"/>
  </w:num>
  <w:num w:numId="2">
    <w:abstractNumId w:val="12"/>
  </w:num>
  <w:num w:numId="3">
    <w:abstractNumId w:val="5"/>
  </w:num>
  <w:num w:numId="4">
    <w:abstractNumId w:val="26"/>
  </w:num>
  <w:num w:numId="5">
    <w:abstractNumId w:val="20"/>
  </w:num>
  <w:num w:numId="6">
    <w:abstractNumId w:val="21"/>
  </w:num>
  <w:num w:numId="7">
    <w:abstractNumId w:val="14"/>
  </w:num>
  <w:num w:numId="8">
    <w:abstractNumId w:val="33"/>
  </w:num>
  <w:num w:numId="9">
    <w:abstractNumId w:val="6"/>
  </w:num>
  <w:num w:numId="10">
    <w:abstractNumId w:val="16"/>
  </w:num>
  <w:num w:numId="11">
    <w:abstractNumId w:val="23"/>
  </w:num>
  <w:num w:numId="12">
    <w:abstractNumId w:val="27"/>
  </w:num>
  <w:num w:numId="13">
    <w:abstractNumId w:val="2"/>
  </w:num>
  <w:num w:numId="14">
    <w:abstractNumId w:val="37"/>
  </w:num>
  <w:num w:numId="15">
    <w:abstractNumId w:val="38"/>
  </w:num>
  <w:num w:numId="16">
    <w:abstractNumId w:val="36"/>
  </w:num>
  <w:num w:numId="17">
    <w:abstractNumId w:val="24"/>
  </w:num>
  <w:num w:numId="18">
    <w:abstractNumId w:val="10"/>
  </w:num>
  <w:num w:numId="19">
    <w:abstractNumId w:val="40"/>
  </w:num>
  <w:num w:numId="20">
    <w:abstractNumId w:val="22"/>
  </w:num>
  <w:num w:numId="21">
    <w:abstractNumId w:val="34"/>
  </w:num>
  <w:num w:numId="22">
    <w:abstractNumId w:val="13"/>
  </w:num>
  <w:num w:numId="23">
    <w:abstractNumId w:val="1"/>
  </w:num>
  <w:num w:numId="24">
    <w:abstractNumId w:val="11"/>
  </w:num>
  <w:num w:numId="25">
    <w:abstractNumId w:val="8"/>
  </w:num>
  <w:num w:numId="26">
    <w:abstractNumId w:val="41"/>
  </w:num>
  <w:num w:numId="27">
    <w:abstractNumId w:val="0"/>
  </w:num>
  <w:num w:numId="28">
    <w:abstractNumId w:val="28"/>
  </w:num>
  <w:num w:numId="29">
    <w:abstractNumId w:val="32"/>
  </w:num>
  <w:num w:numId="30">
    <w:abstractNumId w:val="35"/>
  </w:num>
  <w:num w:numId="31">
    <w:abstractNumId w:val="25"/>
  </w:num>
  <w:num w:numId="32">
    <w:abstractNumId w:val="17"/>
  </w:num>
  <w:num w:numId="33">
    <w:abstractNumId w:val="18"/>
  </w:num>
  <w:num w:numId="34">
    <w:abstractNumId w:val="9"/>
  </w:num>
  <w:num w:numId="35">
    <w:abstractNumId w:val="31"/>
  </w:num>
  <w:num w:numId="36">
    <w:abstractNumId w:val="29"/>
  </w:num>
  <w:num w:numId="37">
    <w:abstractNumId w:val="39"/>
  </w:num>
  <w:num w:numId="38">
    <w:abstractNumId w:val="15"/>
  </w:num>
  <w:num w:numId="39">
    <w:abstractNumId w:val="3"/>
  </w:num>
  <w:num w:numId="40">
    <w:abstractNumId w:val="7"/>
  </w:num>
  <w:num w:numId="41">
    <w:abstractNumId w:val="30"/>
  </w:num>
  <w:num w:numId="42">
    <w:abstractNumId w:val="42"/>
  </w:num>
  <w:num w:numId="4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stylePaneFormatFilter w:val="3F01"/>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E4679"/>
    <w:rsid w:val="000125BB"/>
    <w:rsid w:val="000251C9"/>
    <w:rsid w:val="00043672"/>
    <w:rsid w:val="00063E3B"/>
    <w:rsid w:val="00090A93"/>
    <w:rsid w:val="000F4FBF"/>
    <w:rsid w:val="00117FBC"/>
    <w:rsid w:val="00121D83"/>
    <w:rsid w:val="00122702"/>
    <w:rsid w:val="00171947"/>
    <w:rsid w:val="002133B3"/>
    <w:rsid w:val="00241026"/>
    <w:rsid w:val="00282C94"/>
    <w:rsid w:val="002B1E21"/>
    <w:rsid w:val="00335D1E"/>
    <w:rsid w:val="0034218A"/>
    <w:rsid w:val="00393A68"/>
    <w:rsid w:val="003B23F1"/>
    <w:rsid w:val="003B3983"/>
    <w:rsid w:val="00454FEE"/>
    <w:rsid w:val="0045619A"/>
    <w:rsid w:val="00482182"/>
    <w:rsid w:val="004A3606"/>
    <w:rsid w:val="004C1EE2"/>
    <w:rsid w:val="004C4D98"/>
    <w:rsid w:val="004E355E"/>
    <w:rsid w:val="0050080C"/>
    <w:rsid w:val="005066E0"/>
    <w:rsid w:val="00510B66"/>
    <w:rsid w:val="0052020C"/>
    <w:rsid w:val="0055795B"/>
    <w:rsid w:val="00565090"/>
    <w:rsid w:val="00573122"/>
    <w:rsid w:val="006507DB"/>
    <w:rsid w:val="00675BD6"/>
    <w:rsid w:val="006A06E8"/>
    <w:rsid w:val="006A187F"/>
    <w:rsid w:val="006B652E"/>
    <w:rsid w:val="006C2400"/>
    <w:rsid w:val="006D31D5"/>
    <w:rsid w:val="006E2454"/>
    <w:rsid w:val="00712D32"/>
    <w:rsid w:val="007740F0"/>
    <w:rsid w:val="007E1532"/>
    <w:rsid w:val="00804287"/>
    <w:rsid w:val="0082087A"/>
    <w:rsid w:val="0088357A"/>
    <w:rsid w:val="008D6933"/>
    <w:rsid w:val="00933C0E"/>
    <w:rsid w:val="00970ACD"/>
    <w:rsid w:val="0098328C"/>
    <w:rsid w:val="009A450F"/>
    <w:rsid w:val="00A015C0"/>
    <w:rsid w:val="00A22697"/>
    <w:rsid w:val="00A32DE2"/>
    <w:rsid w:val="00A461E1"/>
    <w:rsid w:val="00AA397F"/>
    <w:rsid w:val="00AC0B1F"/>
    <w:rsid w:val="00AC167D"/>
    <w:rsid w:val="00AE7A14"/>
    <w:rsid w:val="00B130AB"/>
    <w:rsid w:val="00B35A3E"/>
    <w:rsid w:val="00B417D6"/>
    <w:rsid w:val="00B674C1"/>
    <w:rsid w:val="00B803C7"/>
    <w:rsid w:val="00BC3845"/>
    <w:rsid w:val="00BE0AB4"/>
    <w:rsid w:val="00BE7EB1"/>
    <w:rsid w:val="00C44023"/>
    <w:rsid w:val="00C84927"/>
    <w:rsid w:val="00CC7B2F"/>
    <w:rsid w:val="00D25DEA"/>
    <w:rsid w:val="00D462D4"/>
    <w:rsid w:val="00D65882"/>
    <w:rsid w:val="00D65F45"/>
    <w:rsid w:val="00D8405D"/>
    <w:rsid w:val="00E05BCD"/>
    <w:rsid w:val="00EB4F0F"/>
    <w:rsid w:val="00EC107A"/>
    <w:rsid w:val="00EE544D"/>
    <w:rsid w:val="00EF57B2"/>
    <w:rsid w:val="00EF678E"/>
    <w:rsid w:val="00F07608"/>
    <w:rsid w:val="00F11FD6"/>
    <w:rsid w:val="00F23193"/>
    <w:rsid w:val="00F3350A"/>
    <w:rsid w:val="00FC6D86"/>
    <w:rsid w:val="00FE4679"/>
    <w:rsid w:val="00FF2C47"/>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E4679"/>
    <w:rPr>
      <w:sz w:val="24"/>
      <w:szCs w:val="24"/>
    </w:rPr>
  </w:style>
  <w:style w:type="paragraph" w:styleId="Nagwek2">
    <w:name w:val="heading 2"/>
    <w:basedOn w:val="Normalny"/>
    <w:next w:val="Normalny"/>
    <w:qFormat/>
    <w:rsid w:val="00FE4679"/>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nhideWhenUsed/>
    <w:qFormat/>
    <w:rsid w:val="002B1E21"/>
    <w:pPr>
      <w:keepNext/>
      <w:spacing w:before="240" w:after="60"/>
      <w:outlineLvl w:val="2"/>
    </w:pPr>
    <w:rPr>
      <w:rFonts w:ascii="Cambria" w:hAnsi="Cambria"/>
      <w:b/>
      <w:bCs/>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rsid w:val="00FE4679"/>
    <w:rPr>
      <w:sz w:val="20"/>
      <w:szCs w:val="20"/>
    </w:rPr>
  </w:style>
  <w:style w:type="character" w:styleId="Odwoanieprzypisudolnego">
    <w:name w:val="footnote reference"/>
    <w:basedOn w:val="Domylnaczcionkaakapitu"/>
    <w:rsid w:val="00FE4679"/>
    <w:rPr>
      <w:vertAlign w:val="superscript"/>
    </w:rPr>
  </w:style>
  <w:style w:type="paragraph" w:styleId="Tekstpodstawowywcity">
    <w:name w:val="Body Text Indent"/>
    <w:basedOn w:val="Normalny"/>
    <w:rsid w:val="00FE4679"/>
    <w:pPr>
      <w:spacing w:after="120"/>
      <w:ind w:left="283"/>
    </w:pPr>
  </w:style>
  <w:style w:type="paragraph" w:customStyle="1" w:styleId="StylTekstpodstawowyInterlinia15wiersza">
    <w:name w:val="Styl Tekst podstawowy + Interlinia:  15 wiersza"/>
    <w:basedOn w:val="Tekstpodstawowy"/>
    <w:rsid w:val="00FE4679"/>
    <w:pPr>
      <w:spacing w:after="0" w:line="360" w:lineRule="auto"/>
      <w:jc w:val="both"/>
    </w:pPr>
    <w:rPr>
      <w:szCs w:val="20"/>
    </w:rPr>
  </w:style>
  <w:style w:type="paragraph" w:styleId="Tekstpodstawowy">
    <w:name w:val="Body Text"/>
    <w:basedOn w:val="Normalny"/>
    <w:rsid w:val="00FE4679"/>
    <w:pPr>
      <w:spacing w:after="120"/>
    </w:pPr>
  </w:style>
  <w:style w:type="paragraph" w:styleId="NormalnyWeb">
    <w:name w:val="Normal (Web)"/>
    <w:basedOn w:val="Normalny"/>
    <w:rsid w:val="00FE4679"/>
    <w:pPr>
      <w:spacing w:before="100" w:beforeAutospacing="1" w:after="100" w:afterAutospacing="1"/>
    </w:pPr>
  </w:style>
  <w:style w:type="table" w:styleId="Tabela-Siatka">
    <w:name w:val="Table Grid"/>
    <w:basedOn w:val="Standardowy"/>
    <w:rsid w:val="00FE46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rsid w:val="00FE4679"/>
    <w:pPr>
      <w:spacing w:after="120" w:line="480" w:lineRule="auto"/>
    </w:pPr>
  </w:style>
  <w:style w:type="paragraph" w:customStyle="1" w:styleId="tresc">
    <w:name w:val="tresc"/>
    <w:basedOn w:val="Normalny"/>
    <w:rsid w:val="00FE4679"/>
    <w:pPr>
      <w:pBdr>
        <w:top w:val="single" w:sz="8" w:space="10" w:color="808080"/>
        <w:left w:val="single" w:sz="8" w:space="10" w:color="808080"/>
        <w:bottom w:val="single" w:sz="8" w:space="10" w:color="808080"/>
        <w:right w:val="single" w:sz="8" w:space="10" w:color="808080"/>
      </w:pBdr>
      <w:shd w:val="clear" w:color="auto" w:fill="FFFFFF"/>
      <w:spacing w:line="240" w:lineRule="atLeast"/>
      <w:jc w:val="both"/>
    </w:pPr>
    <w:rPr>
      <w:rFonts w:ascii="Arial" w:hAnsi="Arial"/>
      <w:color w:val="808080"/>
      <w:sz w:val="18"/>
      <w:szCs w:val="20"/>
    </w:rPr>
  </w:style>
  <w:style w:type="paragraph" w:styleId="Tekstprzypisukocowego">
    <w:name w:val="endnote text"/>
    <w:basedOn w:val="Normalny"/>
    <w:link w:val="TekstprzypisukocowegoZnak"/>
    <w:rsid w:val="00B803C7"/>
    <w:rPr>
      <w:sz w:val="20"/>
      <w:szCs w:val="20"/>
    </w:rPr>
  </w:style>
  <w:style w:type="character" w:customStyle="1" w:styleId="TekstprzypisukocowegoZnak">
    <w:name w:val="Tekst przypisu końcowego Znak"/>
    <w:basedOn w:val="Domylnaczcionkaakapitu"/>
    <w:link w:val="Tekstprzypisukocowego"/>
    <w:rsid w:val="00B803C7"/>
  </w:style>
  <w:style w:type="character" w:styleId="Odwoanieprzypisukocowego">
    <w:name w:val="endnote reference"/>
    <w:basedOn w:val="Domylnaczcionkaakapitu"/>
    <w:rsid w:val="00B803C7"/>
    <w:rPr>
      <w:vertAlign w:val="superscript"/>
    </w:rPr>
  </w:style>
  <w:style w:type="paragraph" w:styleId="Nagwek">
    <w:name w:val="header"/>
    <w:basedOn w:val="Normalny"/>
    <w:link w:val="NagwekZnak"/>
    <w:rsid w:val="008D6933"/>
    <w:pPr>
      <w:tabs>
        <w:tab w:val="center" w:pos="4536"/>
        <w:tab w:val="right" w:pos="9072"/>
      </w:tabs>
    </w:pPr>
  </w:style>
  <w:style w:type="character" w:customStyle="1" w:styleId="NagwekZnak">
    <w:name w:val="Nagłówek Znak"/>
    <w:basedOn w:val="Domylnaczcionkaakapitu"/>
    <w:link w:val="Nagwek"/>
    <w:rsid w:val="008D6933"/>
    <w:rPr>
      <w:sz w:val="24"/>
      <w:szCs w:val="24"/>
    </w:rPr>
  </w:style>
  <w:style w:type="paragraph" w:styleId="Stopka">
    <w:name w:val="footer"/>
    <w:basedOn w:val="Normalny"/>
    <w:link w:val="StopkaZnak"/>
    <w:uiPriority w:val="99"/>
    <w:rsid w:val="008D6933"/>
    <w:pPr>
      <w:tabs>
        <w:tab w:val="center" w:pos="4536"/>
        <w:tab w:val="right" w:pos="9072"/>
      </w:tabs>
    </w:pPr>
  </w:style>
  <w:style w:type="character" w:customStyle="1" w:styleId="StopkaZnak">
    <w:name w:val="Stopka Znak"/>
    <w:basedOn w:val="Domylnaczcionkaakapitu"/>
    <w:link w:val="Stopka"/>
    <w:uiPriority w:val="99"/>
    <w:rsid w:val="008D6933"/>
    <w:rPr>
      <w:sz w:val="24"/>
      <w:szCs w:val="24"/>
    </w:rPr>
  </w:style>
  <w:style w:type="paragraph" w:customStyle="1" w:styleId="Default">
    <w:name w:val="Default"/>
    <w:rsid w:val="0055795B"/>
    <w:pPr>
      <w:autoSpaceDE w:val="0"/>
      <w:autoSpaceDN w:val="0"/>
      <w:adjustRightInd w:val="0"/>
    </w:pPr>
    <w:rPr>
      <w:color w:val="000000"/>
      <w:sz w:val="24"/>
      <w:szCs w:val="24"/>
    </w:rPr>
  </w:style>
  <w:style w:type="character" w:customStyle="1" w:styleId="Nagwek3Znak">
    <w:name w:val="Nagłówek 3 Znak"/>
    <w:basedOn w:val="Domylnaczcionkaakapitu"/>
    <w:link w:val="Nagwek3"/>
    <w:rsid w:val="002B1E21"/>
    <w:rPr>
      <w:rFonts w:ascii="Cambria" w:eastAsia="Times New Roman" w:hAnsi="Cambria" w:cs="Times New Roman"/>
      <w:b/>
      <w:bCs/>
      <w:sz w:val="26"/>
      <w:szCs w:val="26"/>
    </w:rPr>
  </w:style>
</w:styles>
</file>

<file path=word/webSettings.xml><?xml version="1.0" encoding="utf-8"?>
<w:webSettings xmlns:r="http://schemas.openxmlformats.org/officeDocument/2006/relationships" xmlns:w="http://schemas.openxmlformats.org/wordprocessingml/2006/main">
  <w:divs>
    <w:div w:id="554700629">
      <w:bodyDiv w:val="1"/>
      <w:marLeft w:val="0"/>
      <w:marRight w:val="0"/>
      <w:marTop w:val="0"/>
      <w:marBottom w:val="0"/>
      <w:divBdr>
        <w:top w:val="none" w:sz="0" w:space="0" w:color="auto"/>
        <w:left w:val="none" w:sz="0" w:space="0" w:color="auto"/>
        <w:bottom w:val="none" w:sz="0" w:space="0" w:color="auto"/>
        <w:right w:val="none" w:sz="0" w:space="0" w:color="auto"/>
      </w:divBdr>
      <w:divsChild>
        <w:div w:id="50735141">
          <w:marLeft w:val="734"/>
          <w:marRight w:val="0"/>
          <w:marTop w:val="115"/>
          <w:marBottom w:val="0"/>
          <w:divBdr>
            <w:top w:val="none" w:sz="0" w:space="0" w:color="auto"/>
            <w:left w:val="none" w:sz="0" w:space="0" w:color="auto"/>
            <w:bottom w:val="none" w:sz="0" w:space="0" w:color="auto"/>
            <w:right w:val="none" w:sz="0" w:space="0" w:color="auto"/>
          </w:divBdr>
        </w:div>
        <w:div w:id="717053512">
          <w:marLeft w:val="734"/>
          <w:marRight w:val="0"/>
          <w:marTop w:val="115"/>
          <w:marBottom w:val="0"/>
          <w:divBdr>
            <w:top w:val="none" w:sz="0" w:space="0" w:color="auto"/>
            <w:left w:val="none" w:sz="0" w:space="0" w:color="auto"/>
            <w:bottom w:val="none" w:sz="0" w:space="0" w:color="auto"/>
            <w:right w:val="none" w:sz="0" w:space="0" w:color="auto"/>
          </w:divBdr>
        </w:div>
        <w:div w:id="929315079">
          <w:marLeft w:val="734"/>
          <w:marRight w:val="0"/>
          <w:marTop w:val="115"/>
          <w:marBottom w:val="0"/>
          <w:divBdr>
            <w:top w:val="none" w:sz="0" w:space="0" w:color="auto"/>
            <w:left w:val="none" w:sz="0" w:space="0" w:color="auto"/>
            <w:bottom w:val="none" w:sz="0" w:space="0" w:color="auto"/>
            <w:right w:val="none" w:sz="0" w:space="0" w:color="auto"/>
          </w:divBdr>
        </w:div>
        <w:div w:id="1565752099">
          <w:marLeft w:val="734"/>
          <w:marRight w:val="0"/>
          <w:marTop w:val="115"/>
          <w:marBottom w:val="0"/>
          <w:divBdr>
            <w:top w:val="none" w:sz="0" w:space="0" w:color="auto"/>
            <w:left w:val="none" w:sz="0" w:space="0" w:color="auto"/>
            <w:bottom w:val="none" w:sz="0" w:space="0" w:color="auto"/>
            <w:right w:val="none" w:sz="0" w:space="0" w:color="auto"/>
          </w:divBdr>
        </w:div>
        <w:div w:id="1728215543">
          <w:marLeft w:val="734"/>
          <w:marRight w:val="0"/>
          <w:marTop w:val="115"/>
          <w:marBottom w:val="0"/>
          <w:divBdr>
            <w:top w:val="none" w:sz="0" w:space="0" w:color="auto"/>
            <w:left w:val="none" w:sz="0" w:space="0" w:color="auto"/>
            <w:bottom w:val="none" w:sz="0" w:space="0" w:color="auto"/>
            <w:right w:val="none" w:sz="0" w:space="0" w:color="auto"/>
          </w:divBdr>
        </w:div>
      </w:divsChild>
    </w:div>
    <w:div w:id="992367604">
      <w:bodyDiv w:val="1"/>
      <w:marLeft w:val="0"/>
      <w:marRight w:val="0"/>
      <w:marTop w:val="0"/>
      <w:marBottom w:val="0"/>
      <w:divBdr>
        <w:top w:val="none" w:sz="0" w:space="0" w:color="auto"/>
        <w:left w:val="none" w:sz="0" w:space="0" w:color="auto"/>
        <w:bottom w:val="none" w:sz="0" w:space="0" w:color="auto"/>
        <w:right w:val="none" w:sz="0" w:space="0" w:color="auto"/>
      </w:divBdr>
      <w:divsChild>
        <w:div w:id="608003256">
          <w:marLeft w:val="734"/>
          <w:marRight w:val="0"/>
          <w:marTop w:val="115"/>
          <w:marBottom w:val="0"/>
          <w:divBdr>
            <w:top w:val="none" w:sz="0" w:space="0" w:color="auto"/>
            <w:left w:val="none" w:sz="0" w:space="0" w:color="auto"/>
            <w:bottom w:val="none" w:sz="0" w:space="0" w:color="auto"/>
            <w:right w:val="none" w:sz="0" w:space="0" w:color="auto"/>
          </w:divBdr>
        </w:div>
        <w:div w:id="1012146311">
          <w:marLeft w:val="734"/>
          <w:marRight w:val="0"/>
          <w:marTop w:val="115"/>
          <w:marBottom w:val="0"/>
          <w:divBdr>
            <w:top w:val="none" w:sz="0" w:space="0" w:color="auto"/>
            <w:left w:val="none" w:sz="0" w:space="0" w:color="auto"/>
            <w:bottom w:val="none" w:sz="0" w:space="0" w:color="auto"/>
            <w:right w:val="none" w:sz="0" w:space="0" w:color="auto"/>
          </w:divBdr>
        </w:div>
        <w:div w:id="1367220050">
          <w:marLeft w:val="734"/>
          <w:marRight w:val="0"/>
          <w:marTop w:val="115"/>
          <w:marBottom w:val="0"/>
          <w:divBdr>
            <w:top w:val="none" w:sz="0" w:space="0" w:color="auto"/>
            <w:left w:val="none" w:sz="0" w:space="0" w:color="auto"/>
            <w:bottom w:val="none" w:sz="0" w:space="0" w:color="auto"/>
            <w:right w:val="none" w:sz="0" w:space="0" w:color="auto"/>
          </w:divBdr>
        </w:div>
        <w:div w:id="1714575588">
          <w:marLeft w:val="734"/>
          <w:marRight w:val="0"/>
          <w:marTop w:val="115"/>
          <w:marBottom w:val="0"/>
          <w:divBdr>
            <w:top w:val="none" w:sz="0" w:space="0" w:color="auto"/>
            <w:left w:val="none" w:sz="0" w:space="0" w:color="auto"/>
            <w:bottom w:val="none" w:sz="0" w:space="0" w:color="auto"/>
            <w:right w:val="none" w:sz="0" w:space="0" w:color="auto"/>
          </w:divBdr>
        </w:div>
        <w:div w:id="2061979321">
          <w:marLeft w:val="734"/>
          <w:marRight w:val="0"/>
          <w:marTop w:val="115"/>
          <w:marBottom w:val="0"/>
          <w:divBdr>
            <w:top w:val="none" w:sz="0" w:space="0" w:color="auto"/>
            <w:left w:val="none" w:sz="0" w:space="0" w:color="auto"/>
            <w:bottom w:val="none" w:sz="0" w:space="0" w:color="auto"/>
            <w:right w:val="none" w:sz="0" w:space="0" w:color="auto"/>
          </w:divBdr>
        </w:div>
      </w:divsChild>
    </w:div>
    <w:div w:id="1685130442">
      <w:bodyDiv w:val="1"/>
      <w:marLeft w:val="0"/>
      <w:marRight w:val="0"/>
      <w:marTop w:val="0"/>
      <w:marBottom w:val="0"/>
      <w:divBdr>
        <w:top w:val="none" w:sz="0" w:space="0" w:color="auto"/>
        <w:left w:val="none" w:sz="0" w:space="0" w:color="auto"/>
        <w:bottom w:val="none" w:sz="0" w:space="0" w:color="auto"/>
        <w:right w:val="none" w:sz="0" w:space="0" w:color="auto"/>
      </w:divBdr>
      <w:divsChild>
        <w:div w:id="1470241710">
          <w:marLeft w:val="734"/>
          <w:marRight w:val="0"/>
          <w:marTop w:val="115"/>
          <w:marBottom w:val="0"/>
          <w:divBdr>
            <w:top w:val="none" w:sz="0" w:space="0" w:color="auto"/>
            <w:left w:val="none" w:sz="0" w:space="0" w:color="auto"/>
            <w:bottom w:val="none" w:sz="0" w:space="0" w:color="auto"/>
            <w:right w:val="none" w:sz="0" w:space="0" w:color="auto"/>
          </w:divBdr>
        </w:div>
        <w:div w:id="1622497870">
          <w:marLeft w:val="734"/>
          <w:marRight w:val="0"/>
          <w:marTop w:val="115"/>
          <w:marBottom w:val="0"/>
          <w:divBdr>
            <w:top w:val="none" w:sz="0" w:space="0" w:color="auto"/>
            <w:left w:val="none" w:sz="0" w:space="0" w:color="auto"/>
            <w:bottom w:val="none" w:sz="0" w:space="0" w:color="auto"/>
            <w:right w:val="none" w:sz="0" w:space="0" w:color="auto"/>
          </w:divBdr>
        </w:div>
        <w:div w:id="1963077418">
          <w:marLeft w:val="734"/>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6FDEF-F2CA-4EE9-B090-9427E4174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3262</Words>
  <Characters>19575</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UPADŁOŚĆ</vt:lpstr>
    </vt:vector>
  </TitlesOfParts>
  <Company>Bank Ochrony Środowiska S.A.</Company>
  <LinksUpToDate>false</LinksUpToDate>
  <CharactersWithSpaces>22792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UPADŁOŚĆ</dc:title>
  <dc:creator>-</dc:creator>
  <cp:lastModifiedBy>AGH_PPH</cp:lastModifiedBy>
  <cp:revision>4</cp:revision>
  <dcterms:created xsi:type="dcterms:W3CDTF">2020-03-20T22:21:00Z</dcterms:created>
  <dcterms:modified xsi:type="dcterms:W3CDTF">2020-03-20T22:27:00Z</dcterms:modified>
</cp:coreProperties>
</file>