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C2C3" w14:textId="77777777" w:rsidR="00BD1FB4" w:rsidRDefault="00BD1FB4" w:rsidP="00EE1C36">
      <w:pPr>
        <w:spacing w:after="0" w:line="360" w:lineRule="auto"/>
        <w:jc w:val="both"/>
        <w:rPr>
          <w:rFonts w:ascii="Times New Roman" w:eastAsia="Calibri" w:hAnsi="Times New Roman" w:cs="Times New Roman"/>
          <w:sz w:val="24"/>
          <w:szCs w:val="24"/>
        </w:rPr>
      </w:pPr>
    </w:p>
    <w:p w14:paraId="323092F9" w14:textId="77777777" w:rsidR="00BD1FB4" w:rsidRPr="00BD1FB4" w:rsidRDefault="00BD1FB4" w:rsidP="00BD1FB4">
      <w:pPr>
        <w:spacing w:after="0" w:line="360" w:lineRule="auto"/>
        <w:jc w:val="center"/>
        <w:rPr>
          <w:rFonts w:ascii="Times New Roman" w:eastAsia="Calibri" w:hAnsi="Times New Roman" w:cs="Times New Roman"/>
          <w:b/>
          <w:sz w:val="24"/>
          <w:szCs w:val="24"/>
        </w:rPr>
      </w:pPr>
      <w:r w:rsidRPr="00BD1FB4">
        <w:rPr>
          <w:rFonts w:ascii="Times New Roman" w:eastAsia="Calibri" w:hAnsi="Times New Roman" w:cs="Times New Roman"/>
          <w:b/>
          <w:sz w:val="24"/>
          <w:szCs w:val="24"/>
        </w:rPr>
        <w:t>FUNKCJE PRAWA UPADŁOŚCIOWEGO</w:t>
      </w:r>
      <w:r>
        <w:rPr>
          <w:rFonts w:ascii="Times New Roman" w:eastAsia="Calibri" w:hAnsi="Times New Roman" w:cs="Times New Roman"/>
          <w:b/>
          <w:sz w:val="24"/>
          <w:szCs w:val="24"/>
        </w:rPr>
        <w:t>. ZASADY POSTĘPOWANIA UPADŁOŚCIOWEGO</w:t>
      </w:r>
    </w:p>
    <w:p w14:paraId="0C833606" w14:textId="77777777" w:rsidR="00EE1C36"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ab/>
      </w:r>
    </w:p>
    <w:p w14:paraId="20BC364F" w14:textId="77777777" w:rsidR="00BD1FB4" w:rsidRPr="00EE1C36" w:rsidRDefault="00BD1FB4" w:rsidP="00EE1C36">
      <w:pPr>
        <w:spacing w:after="0" w:line="360" w:lineRule="auto"/>
        <w:jc w:val="both"/>
        <w:rPr>
          <w:rFonts w:ascii="Times New Roman" w:eastAsia="Calibri" w:hAnsi="Times New Roman" w:cs="Times New Roman"/>
          <w:sz w:val="24"/>
          <w:szCs w:val="24"/>
        </w:rPr>
      </w:pPr>
    </w:p>
    <w:p w14:paraId="6F7C3C07" w14:textId="77777777" w:rsidR="00EE1C36" w:rsidRPr="00EE1C36" w:rsidRDefault="00BD1FB4" w:rsidP="00EE1C3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1</w:t>
      </w:r>
      <w:r w:rsidR="00EE1C36" w:rsidRPr="00EE1C36">
        <w:rPr>
          <w:rFonts w:ascii="Times New Roman" w:eastAsia="Calibri" w:hAnsi="Times New Roman" w:cs="Times New Roman"/>
          <w:b/>
          <w:sz w:val="24"/>
          <w:szCs w:val="24"/>
        </w:rPr>
        <w:t xml:space="preserve">. Funkcje prawa upadłościowego </w:t>
      </w:r>
    </w:p>
    <w:p w14:paraId="0C17D5C0" w14:textId="77777777" w:rsidR="00EE1C36" w:rsidRPr="00EE1C36"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 xml:space="preserve"> </w:t>
      </w:r>
    </w:p>
    <w:p w14:paraId="096FEE4F" w14:textId="77777777" w:rsidR="00EE1C36" w:rsidRPr="00EE1C36"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ab/>
      </w:r>
      <w:r w:rsidR="00AD5D1F">
        <w:rPr>
          <w:rFonts w:ascii="Times New Roman" w:eastAsia="Calibri" w:hAnsi="Times New Roman" w:cs="Times New Roman"/>
          <w:sz w:val="24"/>
          <w:szCs w:val="24"/>
        </w:rPr>
        <w:t>P</w:t>
      </w:r>
      <w:r w:rsidRPr="00EE1C36">
        <w:rPr>
          <w:rFonts w:ascii="Times New Roman" w:eastAsia="Calibri" w:hAnsi="Times New Roman" w:cs="Times New Roman"/>
          <w:sz w:val="24"/>
          <w:szCs w:val="24"/>
        </w:rPr>
        <w:t xml:space="preserve">rzed omówieniem </w:t>
      </w:r>
      <w:r w:rsidR="00AD5D1F">
        <w:rPr>
          <w:rFonts w:ascii="Times New Roman" w:eastAsia="Calibri" w:hAnsi="Times New Roman" w:cs="Times New Roman"/>
          <w:sz w:val="24"/>
          <w:szCs w:val="24"/>
        </w:rPr>
        <w:t>przebiegu postępowania upadłościowego konieczne jest</w:t>
      </w:r>
      <w:r w:rsidRPr="00EE1C36">
        <w:rPr>
          <w:rFonts w:ascii="Times New Roman" w:eastAsia="Calibri" w:hAnsi="Times New Roman" w:cs="Times New Roman"/>
          <w:sz w:val="24"/>
          <w:szCs w:val="24"/>
        </w:rPr>
        <w:t xml:space="preserve">, wskazanie podstawowych funkcji pełnionych przez prawo upadłościowe. </w:t>
      </w:r>
      <w:r w:rsidR="00AD5D1F">
        <w:rPr>
          <w:rFonts w:ascii="Times New Roman" w:eastAsia="Calibri" w:hAnsi="Times New Roman" w:cs="Times New Roman"/>
          <w:sz w:val="24"/>
          <w:szCs w:val="24"/>
        </w:rPr>
        <w:t xml:space="preserve">Tradycyjnie </w:t>
      </w:r>
      <w:r w:rsidRPr="00EE1C36">
        <w:rPr>
          <w:rFonts w:ascii="Times New Roman" w:eastAsia="Calibri" w:hAnsi="Times New Roman" w:cs="Times New Roman"/>
          <w:sz w:val="24"/>
          <w:szCs w:val="24"/>
        </w:rPr>
        <w:t>w literaturze wskazuje się zwykle trzy najważniejsze funkcje</w:t>
      </w:r>
      <w:r w:rsidR="00AD5D1F">
        <w:rPr>
          <w:rFonts w:ascii="Times New Roman" w:eastAsia="Calibri" w:hAnsi="Times New Roman" w:cs="Times New Roman"/>
          <w:sz w:val="24"/>
          <w:szCs w:val="24"/>
        </w:rPr>
        <w:t xml:space="preserve"> (spotyka się </w:t>
      </w:r>
      <w:r w:rsidRPr="00EE1C36">
        <w:rPr>
          <w:rFonts w:ascii="Times New Roman" w:eastAsia="Calibri" w:hAnsi="Times New Roman" w:cs="Times New Roman"/>
          <w:sz w:val="24"/>
          <w:szCs w:val="24"/>
        </w:rPr>
        <w:t xml:space="preserve">niekiedy również zamiennie stosowane określenie „cele”) które miałoby ono, w różnym zakresie, spełniać. Są nimi: </w:t>
      </w:r>
    </w:p>
    <w:p w14:paraId="26161216" w14:textId="77777777" w:rsidR="00EE1C36" w:rsidRPr="00AD5D1F" w:rsidRDefault="00EE1C36" w:rsidP="00EE1C36">
      <w:pPr>
        <w:numPr>
          <w:ilvl w:val="0"/>
          <w:numId w:val="1"/>
        </w:numPr>
        <w:spacing w:after="0" w:line="360" w:lineRule="auto"/>
        <w:jc w:val="both"/>
        <w:rPr>
          <w:rFonts w:ascii="Times New Roman" w:eastAsia="Calibri" w:hAnsi="Times New Roman" w:cs="Times New Roman"/>
          <w:b/>
          <w:sz w:val="24"/>
          <w:szCs w:val="24"/>
        </w:rPr>
      </w:pPr>
      <w:r w:rsidRPr="00AD5D1F">
        <w:rPr>
          <w:rFonts w:ascii="Times New Roman" w:eastAsia="Calibri" w:hAnsi="Times New Roman" w:cs="Times New Roman"/>
          <w:b/>
          <w:sz w:val="24"/>
          <w:szCs w:val="24"/>
        </w:rPr>
        <w:t>funkcja windykacyjna,</w:t>
      </w:r>
    </w:p>
    <w:p w14:paraId="37C0911D" w14:textId="77777777" w:rsidR="00EE1C36" w:rsidRPr="00AD5D1F" w:rsidRDefault="00EE1C36" w:rsidP="00EE1C36">
      <w:pPr>
        <w:numPr>
          <w:ilvl w:val="0"/>
          <w:numId w:val="1"/>
        </w:numPr>
        <w:spacing w:after="0" w:line="360" w:lineRule="auto"/>
        <w:jc w:val="both"/>
        <w:rPr>
          <w:rFonts w:ascii="Times New Roman" w:eastAsia="Calibri" w:hAnsi="Times New Roman" w:cs="Times New Roman"/>
          <w:b/>
          <w:sz w:val="24"/>
          <w:szCs w:val="24"/>
        </w:rPr>
      </w:pPr>
      <w:r w:rsidRPr="00AD5D1F">
        <w:rPr>
          <w:rFonts w:ascii="Times New Roman" w:eastAsia="Calibri" w:hAnsi="Times New Roman" w:cs="Times New Roman"/>
          <w:b/>
          <w:sz w:val="24"/>
          <w:szCs w:val="24"/>
        </w:rPr>
        <w:t>funkcja profilaktyczna,</w:t>
      </w:r>
    </w:p>
    <w:p w14:paraId="718BC512" w14:textId="77777777" w:rsidR="00EE1C36" w:rsidRDefault="00EE1C36" w:rsidP="00EE1C36">
      <w:pPr>
        <w:numPr>
          <w:ilvl w:val="0"/>
          <w:numId w:val="1"/>
        </w:numPr>
        <w:spacing w:after="0" w:line="360" w:lineRule="auto"/>
        <w:jc w:val="both"/>
        <w:rPr>
          <w:rFonts w:ascii="Times New Roman" w:eastAsia="Calibri" w:hAnsi="Times New Roman" w:cs="Times New Roman"/>
          <w:b/>
          <w:sz w:val="24"/>
          <w:szCs w:val="24"/>
        </w:rPr>
      </w:pPr>
      <w:r w:rsidRPr="00AD5D1F">
        <w:rPr>
          <w:rFonts w:ascii="Times New Roman" w:eastAsia="Calibri" w:hAnsi="Times New Roman" w:cs="Times New Roman"/>
          <w:b/>
          <w:sz w:val="24"/>
          <w:szCs w:val="24"/>
        </w:rPr>
        <w:t>funkcja wychowawcza.</w:t>
      </w:r>
    </w:p>
    <w:p w14:paraId="1A1444F1" w14:textId="77777777" w:rsidR="00EE1C36" w:rsidRPr="00EE1C36" w:rsidRDefault="00AD5D1F" w:rsidP="00AD5D1F">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Do czasu wejścia w życie przepisów PR w pełni uzasadnione było wskazywanie również przez przedstawicieli doktryny funkcji</w:t>
      </w:r>
      <w:r w:rsidR="00EE1C36" w:rsidRPr="00EE1C36">
        <w:rPr>
          <w:rFonts w:ascii="Times New Roman" w:eastAsia="Calibri" w:hAnsi="Times New Roman" w:cs="Times New Roman"/>
          <w:sz w:val="24"/>
          <w:szCs w:val="24"/>
        </w:rPr>
        <w:t xml:space="preserve"> oddłużeniow</w:t>
      </w:r>
      <w:r>
        <w:rPr>
          <w:rFonts w:ascii="Times New Roman" w:eastAsia="Calibri" w:hAnsi="Times New Roman" w:cs="Times New Roman"/>
          <w:sz w:val="24"/>
          <w:szCs w:val="24"/>
        </w:rPr>
        <w:t>ej oraz sanacyjnej</w:t>
      </w:r>
      <w:r w:rsidR="00EE1C36" w:rsidRPr="00EE1C3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istotnych </w:t>
      </w:r>
      <w:r w:rsidRPr="00EE1C36">
        <w:rPr>
          <w:rFonts w:ascii="Times New Roman" w:eastAsia="Calibri" w:hAnsi="Times New Roman" w:cs="Times New Roman"/>
          <w:sz w:val="24"/>
          <w:szCs w:val="24"/>
        </w:rPr>
        <w:t>postępowania upadłościoweg</w:t>
      </w:r>
      <w:r>
        <w:rPr>
          <w:rFonts w:ascii="Times New Roman" w:eastAsia="Calibri" w:hAnsi="Times New Roman" w:cs="Times New Roman"/>
          <w:sz w:val="24"/>
          <w:szCs w:val="24"/>
        </w:rPr>
        <w:t>o z możliwością zawarcia układu oraz postępowania naprawczego. Obecnie funkcje te zostały niejako przejęte przez Prawo restrukturyzacyjne i realizowane są w ramach uregulowanych w nim postępowań restrukturyzacyjnych (w tym postępowania sanacyjnego). Niemniej w przepisach Prawa upadłościowego</w:t>
      </w:r>
      <w:r w:rsidR="00565892">
        <w:rPr>
          <w:rFonts w:ascii="Times New Roman" w:eastAsia="Calibri" w:hAnsi="Times New Roman" w:cs="Times New Roman"/>
          <w:sz w:val="24"/>
          <w:szCs w:val="24"/>
        </w:rPr>
        <w:t xml:space="preserve"> dotyczących postępowania ogólnego można nadal odnaleźć przepisy dopuszczające zawarcie układu w upadłości (art. 266a i nast., odsyłające do przepisów Prawa Restrukturyzacyjnego)</w:t>
      </w:r>
      <w:r w:rsidR="003E04F0">
        <w:rPr>
          <w:rFonts w:ascii="Times New Roman" w:eastAsia="Calibri" w:hAnsi="Times New Roman" w:cs="Times New Roman"/>
          <w:sz w:val="24"/>
          <w:szCs w:val="24"/>
        </w:rPr>
        <w:t xml:space="preserve"> oraz umożliwiające w pewnym zakresie umorzenie zobowiązań upadłego będącego osobą fizyczną – art. 369 i nast.</w:t>
      </w:r>
      <w:r w:rsidR="00565892">
        <w:rPr>
          <w:rFonts w:ascii="Times New Roman" w:eastAsia="Calibri" w:hAnsi="Times New Roman" w:cs="Times New Roman"/>
          <w:sz w:val="24"/>
          <w:szCs w:val="24"/>
        </w:rPr>
        <w:t>. Przepisy taki</w:t>
      </w:r>
      <w:r w:rsidR="003E04F0">
        <w:rPr>
          <w:rFonts w:ascii="Times New Roman" w:eastAsia="Calibri" w:hAnsi="Times New Roman" w:cs="Times New Roman"/>
          <w:sz w:val="24"/>
          <w:szCs w:val="24"/>
        </w:rPr>
        <w:t>e</w:t>
      </w:r>
      <w:r w:rsidR="00565892">
        <w:rPr>
          <w:rFonts w:ascii="Times New Roman" w:eastAsia="Calibri" w:hAnsi="Times New Roman" w:cs="Times New Roman"/>
          <w:sz w:val="24"/>
          <w:szCs w:val="24"/>
        </w:rPr>
        <w:t xml:space="preserve"> istnieją również w przypadku wielu postępowań odrębnych (zwłaszcza w przypadku upadłości konsumenckiej). Funkcja oddłużeniowa Prawa upadłościowego została zatem w ograniczonym zakresie zachowana. </w:t>
      </w:r>
      <w:r>
        <w:rPr>
          <w:rFonts w:ascii="Times New Roman" w:eastAsia="Calibri" w:hAnsi="Times New Roman" w:cs="Times New Roman"/>
          <w:sz w:val="24"/>
          <w:szCs w:val="24"/>
        </w:rPr>
        <w:t xml:space="preserve">  </w:t>
      </w:r>
      <w:r w:rsidR="00EE1C36" w:rsidRPr="00EE1C36">
        <w:rPr>
          <w:rFonts w:ascii="Times New Roman" w:eastAsia="Calibri" w:hAnsi="Times New Roman" w:cs="Times New Roman"/>
          <w:sz w:val="24"/>
          <w:szCs w:val="24"/>
        </w:rPr>
        <w:t xml:space="preserve"> </w:t>
      </w:r>
    </w:p>
    <w:p w14:paraId="16A59FB4" w14:textId="77777777" w:rsidR="00565892"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ab/>
        <w:t xml:space="preserve">Wskazane </w:t>
      </w:r>
      <w:r w:rsidR="00565892">
        <w:rPr>
          <w:rFonts w:ascii="Times New Roman" w:eastAsia="Calibri" w:hAnsi="Times New Roman" w:cs="Times New Roman"/>
          <w:sz w:val="24"/>
          <w:szCs w:val="24"/>
        </w:rPr>
        <w:t xml:space="preserve">wyżej </w:t>
      </w:r>
      <w:r w:rsidRPr="00EE1C36">
        <w:rPr>
          <w:rFonts w:ascii="Times New Roman" w:eastAsia="Calibri" w:hAnsi="Times New Roman" w:cs="Times New Roman"/>
          <w:sz w:val="24"/>
          <w:szCs w:val="24"/>
        </w:rPr>
        <w:t>funkcje realizuje całe prawo upadłościowe, lecz czyni to w różnym natężeniu. Należy jednak wyraźnie podkreślić, że w przypadku prawa upadłościowego za jego podstawową funkcję uznawana jest funkcja windykacyjna</w:t>
      </w:r>
      <w:r w:rsidR="00565892">
        <w:rPr>
          <w:rFonts w:ascii="Times New Roman" w:eastAsia="Calibri" w:hAnsi="Times New Roman" w:cs="Times New Roman"/>
          <w:sz w:val="24"/>
          <w:szCs w:val="24"/>
        </w:rPr>
        <w:t>.</w:t>
      </w:r>
    </w:p>
    <w:p w14:paraId="6AEC812C" w14:textId="77777777" w:rsidR="00565892"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ab/>
        <w:t xml:space="preserve">Funkcja windykacyjna prawa upadłościowego realizowana jest poprzez dążenie do zaspokojenia wierzycieli niewypłacalnego dłużnika. Jak to trafnie ujmuje S. Gurgul, „zaspokojenie wierzycieli jest niewątpliwie podstawowym celem prawa upadłościowego”. Pomimo iż z istoty niewypłacalności wynika, że wierzyciele upadłego nie zostaną z reguły </w:t>
      </w:r>
      <w:r w:rsidRPr="00EE1C36">
        <w:rPr>
          <w:rFonts w:ascii="Times New Roman" w:eastAsia="Calibri" w:hAnsi="Times New Roman" w:cs="Times New Roman"/>
          <w:sz w:val="24"/>
          <w:szCs w:val="24"/>
        </w:rPr>
        <w:lastRenderedPageBreak/>
        <w:t xml:space="preserve">zaspokojeni w całości, w postępowaniu upadłościowym należy do tego dążyć. Prawo upadłościowe powinno zatem stworzyć warunki umożliwiające zaspokojenie wierzycieli w możliwie najwyższym stopniu. Dotyczy to zarówno wierzycieli, których wierzytelności zostały zabezpieczone prawami rzeczowymi na składnikach majątku dłużnika, jak i wierzycieli niezabezpieczonych. </w:t>
      </w:r>
      <w:r w:rsidR="00565892">
        <w:rPr>
          <w:rFonts w:ascii="Times New Roman" w:eastAsia="Calibri" w:hAnsi="Times New Roman" w:cs="Times New Roman"/>
          <w:sz w:val="24"/>
          <w:szCs w:val="24"/>
        </w:rPr>
        <w:t>Zaznaczyć jednak należy, że przepisy PU</w:t>
      </w:r>
      <w:r w:rsidRPr="00EE1C36">
        <w:rPr>
          <w:rFonts w:ascii="Times New Roman" w:eastAsia="Calibri" w:hAnsi="Times New Roman" w:cs="Times New Roman"/>
          <w:sz w:val="24"/>
          <w:szCs w:val="24"/>
        </w:rPr>
        <w:t xml:space="preserve"> regulujące kwestię zaspokojenia wierzycieli upadłego – a zatem określające sposób i zakres realizacji funkcji windykacyjnej prawa upadłościowego, uprzywilejowują w najbardziej znaczącym stopniu (głównie poprzez wprowadzenie prawa odrębności) wierzytelności zabezpieczone prawami zastawniczymi. </w:t>
      </w:r>
    </w:p>
    <w:p w14:paraId="0E246B73" w14:textId="77777777" w:rsidR="00EE1C36" w:rsidRPr="00EE1C36" w:rsidRDefault="00EE1C36" w:rsidP="00565892">
      <w:pPr>
        <w:spacing w:after="0" w:line="360" w:lineRule="auto"/>
        <w:ind w:firstLine="708"/>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 xml:space="preserve">Z funkcją </w:t>
      </w:r>
      <w:r w:rsidR="00565892" w:rsidRPr="00EE1C36">
        <w:rPr>
          <w:rFonts w:ascii="Times New Roman" w:eastAsia="Calibri" w:hAnsi="Times New Roman" w:cs="Times New Roman"/>
          <w:sz w:val="24"/>
          <w:szCs w:val="24"/>
        </w:rPr>
        <w:t xml:space="preserve">windykacyjną prawa upadłościowego </w:t>
      </w:r>
      <w:r w:rsidRPr="00EE1C36">
        <w:rPr>
          <w:rFonts w:ascii="Times New Roman" w:eastAsia="Calibri" w:hAnsi="Times New Roman" w:cs="Times New Roman"/>
          <w:sz w:val="24"/>
          <w:szCs w:val="24"/>
        </w:rPr>
        <w:t xml:space="preserve">tą powiązana jest w wyraźny sposób, omówiona niżej, zasada maksymalnego zaspokojenia wierzycieli upadłego (zasada optymalizacji), będąca jedną z naczelnych zasad prawa upadłościowego. </w:t>
      </w:r>
    </w:p>
    <w:p w14:paraId="263AD500" w14:textId="77777777" w:rsidR="00EE1C36" w:rsidRPr="00EE1C36"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ab/>
        <w:t>Funkcja profilaktyczna wyraża się w dążeniu do zapobiegania – poprzez odpowiednio wczesn</w:t>
      </w:r>
      <w:r w:rsidR="00565892">
        <w:rPr>
          <w:rFonts w:ascii="Times New Roman" w:eastAsia="Calibri" w:hAnsi="Times New Roman" w:cs="Times New Roman"/>
          <w:sz w:val="24"/>
          <w:szCs w:val="24"/>
        </w:rPr>
        <w:t>e wszczęcie przewidzianych w PU</w:t>
      </w:r>
      <w:r w:rsidRPr="00EE1C36">
        <w:rPr>
          <w:rFonts w:ascii="Times New Roman" w:eastAsia="Calibri" w:hAnsi="Times New Roman" w:cs="Times New Roman"/>
          <w:sz w:val="24"/>
          <w:szCs w:val="24"/>
        </w:rPr>
        <w:t xml:space="preserve"> postępowań - dalszym upadłościom, które byłyby następstwem niepłacenia zobowiązań przez niewypłacalnego dłużnika. Każda niewypłacalność dłużnika powinna prowadzić do jak najszybszego wszczęcia postępowania upadłościowego, które umożliwi zaspokojenie przynajmniej w pewnym stopniu jego wierzycieli z majątku tego dłużnika, a tym samym ograniczenie gospodarczych skutków jego upadłości. </w:t>
      </w:r>
      <w:r w:rsidR="00565892">
        <w:rPr>
          <w:rFonts w:ascii="Times New Roman" w:eastAsia="Calibri" w:hAnsi="Times New Roman" w:cs="Times New Roman"/>
          <w:sz w:val="24"/>
          <w:szCs w:val="24"/>
        </w:rPr>
        <w:t>Podkreślić jednak należy, że w obecnym stanie prawnym funkcję profilaktyczną w większym stopniu niż Prawo upadłościowe pełni Prawo restrukturyzacyjne, gdyż uregulowane w jego przepisach postępowania</w:t>
      </w:r>
      <w:r w:rsidRPr="00EE1C36">
        <w:rPr>
          <w:rFonts w:ascii="Times New Roman" w:eastAsia="Calibri" w:hAnsi="Times New Roman" w:cs="Times New Roman"/>
          <w:sz w:val="24"/>
          <w:szCs w:val="24"/>
        </w:rPr>
        <w:t xml:space="preserve"> m</w:t>
      </w:r>
      <w:r w:rsidR="00565892">
        <w:rPr>
          <w:rFonts w:ascii="Times New Roman" w:eastAsia="Calibri" w:hAnsi="Times New Roman" w:cs="Times New Roman"/>
          <w:sz w:val="24"/>
          <w:szCs w:val="24"/>
        </w:rPr>
        <w:t>ogą</w:t>
      </w:r>
      <w:r w:rsidRPr="00EE1C36">
        <w:rPr>
          <w:rFonts w:ascii="Times New Roman" w:eastAsia="Calibri" w:hAnsi="Times New Roman" w:cs="Times New Roman"/>
          <w:sz w:val="24"/>
          <w:szCs w:val="24"/>
        </w:rPr>
        <w:t xml:space="preserve"> być </w:t>
      </w:r>
      <w:r w:rsidR="00565892">
        <w:rPr>
          <w:rFonts w:ascii="Times New Roman" w:eastAsia="Calibri" w:hAnsi="Times New Roman" w:cs="Times New Roman"/>
          <w:sz w:val="24"/>
          <w:szCs w:val="24"/>
        </w:rPr>
        <w:t>również</w:t>
      </w:r>
      <w:r w:rsidR="00CF421B">
        <w:rPr>
          <w:rFonts w:ascii="Times New Roman" w:eastAsia="Calibri" w:hAnsi="Times New Roman" w:cs="Times New Roman"/>
          <w:sz w:val="24"/>
          <w:szCs w:val="24"/>
        </w:rPr>
        <w:t xml:space="preserve"> </w:t>
      </w:r>
      <w:r w:rsidRPr="00EE1C36">
        <w:rPr>
          <w:rFonts w:ascii="Times New Roman" w:eastAsia="Calibri" w:hAnsi="Times New Roman" w:cs="Times New Roman"/>
          <w:sz w:val="24"/>
          <w:szCs w:val="24"/>
        </w:rPr>
        <w:t xml:space="preserve">wszczęte przez dłużnika dopiero zagrożonego niewypłacalnością, w celu </w:t>
      </w:r>
      <w:r w:rsidR="00CF421B">
        <w:rPr>
          <w:rFonts w:ascii="Times New Roman" w:eastAsia="Calibri" w:hAnsi="Times New Roman" w:cs="Times New Roman"/>
          <w:sz w:val="24"/>
          <w:szCs w:val="24"/>
        </w:rPr>
        <w:t xml:space="preserve">jej </w:t>
      </w:r>
      <w:r w:rsidRPr="00EE1C36">
        <w:rPr>
          <w:rFonts w:ascii="Times New Roman" w:eastAsia="Calibri" w:hAnsi="Times New Roman" w:cs="Times New Roman"/>
          <w:sz w:val="24"/>
          <w:szCs w:val="24"/>
        </w:rPr>
        <w:t>uniknięcia niewypłacalności, a tym samym zapobieżeniu jego upadłości</w:t>
      </w:r>
      <w:r w:rsidR="00CF421B">
        <w:rPr>
          <w:rFonts w:ascii="Times New Roman" w:eastAsia="Calibri" w:hAnsi="Times New Roman" w:cs="Times New Roman"/>
          <w:sz w:val="24"/>
          <w:szCs w:val="24"/>
        </w:rPr>
        <w:t>, a także prowadzić do uzdrowienia jego sytuacji ekonomiczno-gospodarczej – zwłaszcza postępowanie sanacyjne</w:t>
      </w:r>
      <w:r w:rsidRPr="00EE1C36">
        <w:rPr>
          <w:rFonts w:ascii="Times New Roman" w:eastAsia="Calibri" w:hAnsi="Times New Roman" w:cs="Times New Roman"/>
          <w:sz w:val="24"/>
          <w:szCs w:val="24"/>
        </w:rPr>
        <w:t xml:space="preserve"> </w:t>
      </w:r>
    </w:p>
    <w:p w14:paraId="3A0A19A5" w14:textId="77777777" w:rsidR="00EE1C36" w:rsidRPr="00EE1C36"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ab/>
        <w:t>Funkcja wychowawcza, powiązana z funkcją profilaktyczną</w:t>
      </w:r>
      <w:r w:rsidR="00381ACD">
        <w:rPr>
          <w:rFonts w:ascii="Times New Roman" w:eastAsia="Calibri" w:hAnsi="Times New Roman" w:cs="Times New Roman"/>
          <w:sz w:val="24"/>
          <w:szCs w:val="24"/>
        </w:rPr>
        <w:t>,</w:t>
      </w:r>
      <w:r w:rsidRPr="00EE1C36">
        <w:rPr>
          <w:rFonts w:ascii="Times New Roman" w:eastAsia="Calibri" w:hAnsi="Times New Roman" w:cs="Times New Roman"/>
          <w:sz w:val="24"/>
          <w:szCs w:val="24"/>
        </w:rPr>
        <w:t xml:space="preserve"> wyraża rolę prawa upadłościowego dla kształtowania wśród przedsiębiorców prawidłowych wzorców zachowań, które można określić jako postawę rzetelnego przedsiębiorcy. Dłużnik w sytua</w:t>
      </w:r>
      <w:r w:rsidRPr="00EE1C36">
        <w:rPr>
          <w:rFonts w:ascii="Times New Roman" w:eastAsia="Calibri" w:hAnsi="Times New Roman" w:cs="Times New Roman"/>
          <w:sz w:val="24"/>
          <w:szCs w:val="24"/>
        </w:rPr>
        <w:softHyphen/>
        <w:t>cji niewypłacalności powinien czuć się zobowiązany podjąć wszelkie kroki minimalizujące jej skutki, a więc, w razie zaistnienia okolicznoś</w:t>
      </w:r>
      <w:r w:rsidR="00CF421B">
        <w:rPr>
          <w:rFonts w:ascii="Times New Roman" w:eastAsia="Calibri" w:hAnsi="Times New Roman" w:cs="Times New Roman"/>
          <w:sz w:val="24"/>
          <w:szCs w:val="24"/>
        </w:rPr>
        <w:t>ci przewidzianych przepisami PU</w:t>
      </w:r>
      <w:r w:rsidRPr="00EE1C36">
        <w:rPr>
          <w:rFonts w:ascii="Times New Roman" w:eastAsia="Calibri" w:hAnsi="Times New Roman" w:cs="Times New Roman"/>
          <w:sz w:val="24"/>
          <w:szCs w:val="24"/>
        </w:rPr>
        <w:t xml:space="preserve">, jak najszybciej złożyć wniosek o ogłoszenie swojej upadłości, pod groźbą określonych w ustawie sankcji. </w:t>
      </w:r>
    </w:p>
    <w:p w14:paraId="3086B512" w14:textId="77777777" w:rsidR="00CF421B"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ab/>
        <w:t xml:space="preserve">Funkcję oddłużeniową, umożliwiającą redukcję zobowiązań upadłego, prawo upadłościowe i naprawcze pełni </w:t>
      </w:r>
      <w:r w:rsidR="00CF421B">
        <w:rPr>
          <w:rFonts w:ascii="Times New Roman" w:eastAsia="Calibri" w:hAnsi="Times New Roman" w:cs="Times New Roman"/>
          <w:sz w:val="24"/>
          <w:szCs w:val="24"/>
        </w:rPr>
        <w:t>obecnie</w:t>
      </w:r>
      <w:r w:rsidRPr="00EE1C36">
        <w:rPr>
          <w:rFonts w:ascii="Times New Roman" w:eastAsia="Calibri" w:hAnsi="Times New Roman" w:cs="Times New Roman"/>
          <w:sz w:val="24"/>
          <w:szCs w:val="24"/>
        </w:rPr>
        <w:t>, jak już zaznaczono, w ograniczonym stopniu</w:t>
      </w:r>
      <w:r w:rsidR="00042438">
        <w:rPr>
          <w:rFonts w:ascii="Times New Roman" w:eastAsia="Calibri" w:hAnsi="Times New Roman" w:cs="Times New Roman"/>
          <w:sz w:val="24"/>
          <w:szCs w:val="24"/>
        </w:rPr>
        <w:t xml:space="preserve"> - głównie w</w:t>
      </w:r>
      <w:r w:rsidR="003E04F0">
        <w:rPr>
          <w:rFonts w:ascii="Times New Roman" w:eastAsia="Calibri" w:hAnsi="Times New Roman" w:cs="Times New Roman"/>
          <w:sz w:val="24"/>
          <w:szCs w:val="24"/>
        </w:rPr>
        <w:t xml:space="preserve"> odniesieniu do osób fizycznych, w przypadku których </w:t>
      </w:r>
      <w:r w:rsidR="00042438">
        <w:rPr>
          <w:rFonts w:ascii="Times New Roman" w:eastAsia="Calibri" w:hAnsi="Times New Roman" w:cs="Times New Roman"/>
          <w:sz w:val="24"/>
          <w:szCs w:val="24"/>
        </w:rPr>
        <w:t xml:space="preserve"> </w:t>
      </w:r>
      <w:r w:rsidR="003E04F0">
        <w:rPr>
          <w:rFonts w:ascii="Times New Roman" w:eastAsia="Calibri" w:hAnsi="Times New Roman" w:cs="Times New Roman"/>
          <w:sz w:val="24"/>
          <w:szCs w:val="24"/>
        </w:rPr>
        <w:t>p</w:t>
      </w:r>
      <w:r w:rsidR="003E04F0" w:rsidRPr="003E04F0">
        <w:rPr>
          <w:rFonts w:ascii="Times New Roman" w:eastAsia="Calibri" w:hAnsi="Times New Roman" w:cs="Times New Roman"/>
          <w:sz w:val="24"/>
          <w:szCs w:val="24"/>
        </w:rPr>
        <w:t xml:space="preserve">ostępowanie uregulowane </w:t>
      </w:r>
      <w:r w:rsidR="003E04F0" w:rsidRPr="003E04F0">
        <w:rPr>
          <w:rFonts w:ascii="Times New Roman" w:eastAsia="Calibri" w:hAnsi="Times New Roman" w:cs="Times New Roman"/>
          <w:sz w:val="24"/>
          <w:szCs w:val="24"/>
        </w:rPr>
        <w:lastRenderedPageBreak/>
        <w:t>ustawą należy prowadzić również tak, aby umożliwić umorzenie zobowiązań upadłego niewykonanych w postępowaniu upadłościowym</w:t>
      </w:r>
    </w:p>
    <w:p w14:paraId="3ADD3D1F" w14:textId="77777777" w:rsidR="00CF421B" w:rsidRDefault="00CF421B" w:rsidP="00EE1C36">
      <w:pPr>
        <w:spacing w:after="0" w:line="360" w:lineRule="auto"/>
        <w:jc w:val="both"/>
        <w:rPr>
          <w:rFonts w:ascii="Times New Roman" w:eastAsia="Calibri" w:hAnsi="Times New Roman" w:cs="Times New Roman"/>
          <w:sz w:val="24"/>
          <w:szCs w:val="24"/>
        </w:rPr>
      </w:pPr>
    </w:p>
    <w:p w14:paraId="547E8FF9" w14:textId="77777777" w:rsidR="00CF421B" w:rsidRPr="00CF421B" w:rsidRDefault="00CF421B" w:rsidP="00EE1C36">
      <w:pPr>
        <w:spacing w:after="0" w:line="360" w:lineRule="auto"/>
        <w:jc w:val="both"/>
        <w:rPr>
          <w:rFonts w:ascii="Times New Roman" w:eastAsia="Calibri" w:hAnsi="Times New Roman" w:cs="Times New Roman"/>
          <w:b/>
          <w:sz w:val="24"/>
          <w:szCs w:val="24"/>
        </w:rPr>
      </w:pPr>
      <w:r w:rsidRPr="00CF421B">
        <w:rPr>
          <w:rFonts w:ascii="Times New Roman" w:eastAsia="Calibri" w:hAnsi="Times New Roman" w:cs="Times New Roman"/>
          <w:b/>
          <w:sz w:val="24"/>
          <w:szCs w:val="24"/>
        </w:rPr>
        <w:t>2. Zasady postępowania upadłościowego</w:t>
      </w:r>
      <w:r w:rsidR="00EE1C36" w:rsidRPr="00CF421B">
        <w:rPr>
          <w:rFonts w:ascii="Times New Roman" w:eastAsia="Calibri" w:hAnsi="Times New Roman" w:cs="Times New Roman"/>
          <w:b/>
          <w:sz w:val="24"/>
          <w:szCs w:val="24"/>
        </w:rPr>
        <w:tab/>
      </w:r>
    </w:p>
    <w:p w14:paraId="166628C3" w14:textId="77777777" w:rsidR="00EE1C36" w:rsidRPr="00EE1C36" w:rsidRDefault="00EE1C36" w:rsidP="00EE1C36">
      <w:pPr>
        <w:spacing w:after="0" w:line="360" w:lineRule="auto"/>
        <w:jc w:val="both"/>
        <w:rPr>
          <w:rFonts w:ascii="Times New Roman" w:eastAsia="Calibri" w:hAnsi="Times New Roman" w:cs="Times New Roman"/>
          <w:sz w:val="24"/>
          <w:szCs w:val="24"/>
        </w:rPr>
      </w:pPr>
      <w:r w:rsidRPr="00EE1C36">
        <w:rPr>
          <w:rFonts w:ascii="Times New Roman" w:eastAsia="Calibri" w:hAnsi="Times New Roman" w:cs="Times New Roman"/>
          <w:sz w:val="24"/>
          <w:szCs w:val="24"/>
        </w:rPr>
        <w:t xml:space="preserve"> </w:t>
      </w:r>
    </w:p>
    <w:p w14:paraId="1B2A0F23" w14:textId="77777777" w:rsidR="00F57FDF" w:rsidRDefault="00CF421B" w:rsidP="00EE1C3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Wśród zasad postępowania upadłościowego wskazać przede wszystkim należy na</w:t>
      </w:r>
      <w:r w:rsidR="00EE1C36" w:rsidRPr="00EE1C36">
        <w:rPr>
          <w:rFonts w:ascii="Times New Roman" w:eastAsia="Calibri" w:hAnsi="Times New Roman" w:cs="Times New Roman"/>
          <w:sz w:val="24"/>
          <w:szCs w:val="24"/>
        </w:rPr>
        <w:t>, dwie naczelne zasady</w:t>
      </w:r>
      <w:r>
        <w:rPr>
          <w:rFonts w:ascii="Times New Roman" w:eastAsia="Calibri" w:hAnsi="Times New Roman" w:cs="Times New Roman"/>
          <w:sz w:val="24"/>
          <w:szCs w:val="24"/>
        </w:rPr>
        <w:t xml:space="preserve">, służące </w:t>
      </w:r>
      <w:r w:rsidR="00EE1C36" w:rsidRPr="00EE1C36">
        <w:rPr>
          <w:rFonts w:ascii="Times New Roman" w:eastAsia="Calibri" w:hAnsi="Times New Roman" w:cs="Times New Roman"/>
          <w:sz w:val="24"/>
          <w:szCs w:val="24"/>
        </w:rPr>
        <w:t xml:space="preserve"> </w:t>
      </w:r>
      <w:r>
        <w:rPr>
          <w:rFonts w:ascii="Times New Roman" w:eastAsia="Calibri" w:hAnsi="Times New Roman" w:cs="Times New Roman"/>
          <w:sz w:val="24"/>
          <w:szCs w:val="24"/>
        </w:rPr>
        <w:t>realizacji</w:t>
      </w:r>
      <w:r w:rsidRPr="00EE1C36">
        <w:rPr>
          <w:rFonts w:ascii="Times New Roman" w:eastAsia="Calibri" w:hAnsi="Times New Roman" w:cs="Times New Roman"/>
          <w:sz w:val="24"/>
          <w:szCs w:val="24"/>
        </w:rPr>
        <w:t xml:space="preserve"> wskazanych wyżej celów prawa upadłościowego</w:t>
      </w:r>
      <w:r w:rsidR="00F57FDF">
        <w:rPr>
          <w:rFonts w:ascii="Times New Roman" w:eastAsia="Calibri" w:hAnsi="Times New Roman" w:cs="Times New Roman"/>
          <w:sz w:val="24"/>
          <w:szCs w:val="24"/>
        </w:rPr>
        <w:t>:</w:t>
      </w:r>
    </w:p>
    <w:p w14:paraId="1518AA93" w14:textId="77777777" w:rsidR="00F57FDF" w:rsidRDefault="00EE1C36" w:rsidP="00F57FDF">
      <w:pPr>
        <w:pStyle w:val="Akapitzlist"/>
        <w:numPr>
          <w:ilvl w:val="0"/>
          <w:numId w:val="2"/>
        </w:numPr>
        <w:spacing w:after="0" w:line="360" w:lineRule="auto"/>
        <w:jc w:val="both"/>
        <w:rPr>
          <w:rFonts w:ascii="Times New Roman" w:eastAsia="Calibri" w:hAnsi="Times New Roman" w:cs="Times New Roman"/>
          <w:sz w:val="24"/>
          <w:szCs w:val="24"/>
        </w:rPr>
      </w:pPr>
      <w:r w:rsidRPr="00F57FDF">
        <w:rPr>
          <w:rFonts w:ascii="Times New Roman" w:eastAsia="Calibri" w:hAnsi="Times New Roman" w:cs="Times New Roman"/>
          <w:sz w:val="24"/>
          <w:szCs w:val="24"/>
        </w:rPr>
        <w:t xml:space="preserve">zasada optymalizacji i </w:t>
      </w:r>
    </w:p>
    <w:p w14:paraId="68368A7E" w14:textId="4764CE13" w:rsidR="00EE1C36" w:rsidRDefault="00EE1C36" w:rsidP="00F57FDF">
      <w:pPr>
        <w:pStyle w:val="Akapitzlist"/>
        <w:numPr>
          <w:ilvl w:val="0"/>
          <w:numId w:val="2"/>
        </w:numPr>
        <w:spacing w:after="0" w:line="360" w:lineRule="auto"/>
        <w:jc w:val="both"/>
        <w:rPr>
          <w:rFonts w:ascii="Times New Roman" w:eastAsia="Calibri" w:hAnsi="Times New Roman" w:cs="Times New Roman"/>
          <w:sz w:val="24"/>
          <w:szCs w:val="24"/>
        </w:rPr>
      </w:pPr>
      <w:r w:rsidRPr="00F57FDF">
        <w:rPr>
          <w:rFonts w:ascii="Times New Roman" w:eastAsia="Calibri" w:hAnsi="Times New Roman" w:cs="Times New Roman"/>
          <w:sz w:val="24"/>
          <w:szCs w:val="24"/>
        </w:rPr>
        <w:t>zasada dominacji grupowego interesu wierzycieli. Wyznaczają one obowiązujący model postępowania upadłościowego, wskazując na sposób postępowania z majątkiem upadłego oraz tryb i zakres zaspokajania w</w:t>
      </w:r>
      <w:r w:rsidR="00CF421B" w:rsidRPr="00F57FDF">
        <w:rPr>
          <w:rFonts w:ascii="Times New Roman" w:eastAsia="Calibri" w:hAnsi="Times New Roman" w:cs="Times New Roman"/>
          <w:sz w:val="24"/>
          <w:szCs w:val="24"/>
        </w:rPr>
        <w:t>ierzytelności względem upadłego</w:t>
      </w:r>
      <w:r w:rsidRPr="00F57FDF">
        <w:rPr>
          <w:rFonts w:ascii="Times New Roman" w:eastAsia="Calibri" w:hAnsi="Times New Roman" w:cs="Times New Roman"/>
          <w:sz w:val="24"/>
          <w:szCs w:val="24"/>
        </w:rPr>
        <w:t xml:space="preserve">. </w:t>
      </w:r>
      <w:r w:rsidR="00282164" w:rsidRPr="00F57FDF">
        <w:rPr>
          <w:rFonts w:ascii="Times New Roman" w:eastAsia="Calibri" w:hAnsi="Times New Roman" w:cs="Times New Roman"/>
          <w:sz w:val="24"/>
          <w:szCs w:val="24"/>
        </w:rPr>
        <w:t>Oprócz nich przedstawiciele doktryny wskazują (niejednomyślnie) na kilka innych zasad, wśród których wskazać można zwłaszcza na:</w:t>
      </w:r>
    </w:p>
    <w:p w14:paraId="01427770" w14:textId="77777777" w:rsidR="00F57FDF" w:rsidRPr="00F57FDF" w:rsidRDefault="00F57FDF" w:rsidP="00F57FDF">
      <w:pPr>
        <w:pStyle w:val="Akapitzlist"/>
        <w:spacing w:after="0" w:line="360" w:lineRule="auto"/>
        <w:jc w:val="both"/>
        <w:rPr>
          <w:rFonts w:ascii="Times New Roman" w:eastAsia="Calibri" w:hAnsi="Times New Roman" w:cs="Times New Roman"/>
          <w:sz w:val="24"/>
          <w:szCs w:val="24"/>
        </w:rPr>
      </w:pPr>
    </w:p>
    <w:p w14:paraId="0F6BF2D2" w14:textId="77777777" w:rsidR="00282164" w:rsidRDefault="00282164" w:rsidP="00F57FDF">
      <w:pPr>
        <w:pStyle w:val="Akapitzlist"/>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Zasadę wszczynania postępowania upadłościowego na wniosek,</w:t>
      </w:r>
    </w:p>
    <w:p w14:paraId="3B4F1D1C" w14:textId="77777777" w:rsidR="00282164" w:rsidRDefault="00282164" w:rsidP="00F57FDF">
      <w:pPr>
        <w:pStyle w:val="Akapitzlist"/>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Zasadę prymatu interesu wierzycieli zabezpieczonych </w:t>
      </w:r>
      <w:r w:rsidR="00791735" w:rsidRPr="00791735">
        <w:rPr>
          <w:rFonts w:ascii="Times New Roman" w:eastAsia="Calibri" w:hAnsi="Times New Roman" w:cs="Times New Roman"/>
          <w:sz w:val="24"/>
          <w:szCs w:val="24"/>
        </w:rPr>
        <w:t>prawami zastawniczymi na majątku upadłego</w:t>
      </w:r>
      <w:r w:rsidRPr="00791735">
        <w:rPr>
          <w:rFonts w:ascii="Times New Roman" w:eastAsia="Calibri" w:hAnsi="Times New Roman" w:cs="Times New Roman"/>
          <w:sz w:val="24"/>
          <w:szCs w:val="24"/>
        </w:rPr>
        <w:t>,</w:t>
      </w:r>
    </w:p>
    <w:p w14:paraId="651C8533" w14:textId="77777777" w:rsidR="003E04F0" w:rsidRDefault="003E04F0" w:rsidP="00F57FDF">
      <w:pPr>
        <w:pStyle w:val="Akapitzlist"/>
        <w:numPr>
          <w:ilvl w:val="0"/>
          <w:numId w:val="4"/>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Zasada ustawowego podziału wierzytelności na kategorie</w:t>
      </w:r>
    </w:p>
    <w:p w14:paraId="122EE10D" w14:textId="77777777" w:rsidR="00CF421B" w:rsidRPr="00EE1C36" w:rsidRDefault="00CF421B" w:rsidP="00EE1C36">
      <w:pPr>
        <w:spacing w:after="0" w:line="360" w:lineRule="auto"/>
        <w:jc w:val="both"/>
        <w:rPr>
          <w:rFonts w:ascii="Times New Roman" w:eastAsia="Calibri" w:hAnsi="Times New Roman" w:cs="Times New Roman"/>
          <w:sz w:val="24"/>
          <w:szCs w:val="24"/>
        </w:rPr>
      </w:pPr>
    </w:p>
    <w:p w14:paraId="2B7C7C4D" w14:textId="77777777" w:rsidR="006E1109" w:rsidRPr="006E1109" w:rsidRDefault="00282164" w:rsidP="006E110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6E1109" w:rsidRPr="006E1109">
        <w:rPr>
          <w:rFonts w:ascii="Times New Roman" w:eastAsia="Calibri" w:hAnsi="Times New Roman" w:cs="Times New Roman"/>
          <w:b/>
          <w:sz w:val="24"/>
          <w:szCs w:val="24"/>
        </w:rPr>
        <w:t>1. Zasada optymalizacji</w:t>
      </w:r>
    </w:p>
    <w:p w14:paraId="61B961E0" w14:textId="77777777" w:rsidR="006E1109" w:rsidRPr="006E1109" w:rsidRDefault="006E1109" w:rsidP="006E1109">
      <w:pPr>
        <w:spacing w:after="0" w:line="360" w:lineRule="auto"/>
        <w:jc w:val="both"/>
        <w:rPr>
          <w:rFonts w:ascii="Times New Roman" w:eastAsia="Calibri" w:hAnsi="Times New Roman" w:cs="Times New Roman"/>
          <w:sz w:val="24"/>
          <w:szCs w:val="24"/>
        </w:rPr>
      </w:pPr>
    </w:p>
    <w:p w14:paraId="1FECA84B" w14:textId="77777777" w:rsidR="006E1109" w:rsidRPr="006E1109" w:rsidRDefault="006E1109" w:rsidP="006E1109">
      <w:pPr>
        <w:spacing w:after="0" w:line="360" w:lineRule="auto"/>
        <w:jc w:val="both"/>
        <w:rPr>
          <w:rFonts w:ascii="Times New Roman" w:eastAsia="Calibri" w:hAnsi="Times New Roman" w:cs="Times New Roman"/>
          <w:sz w:val="24"/>
          <w:szCs w:val="24"/>
        </w:rPr>
      </w:pPr>
      <w:r w:rsidRPr="006E1109">
        <w:rPr>
          <w:rFonts w:ascii="Times New Roman" w:eastAsia="Calibri" w:hAnsi="Times New Roman" w:cs="Times New Roman"/>
          <w:sz w:val="24"/>
          <w:szCs w:val="24"/>
        </w:rPr>
        <w:tab/>
        <w:t>Jak już zaznaczono, zasadniczą funkcją Prawa upadłościowego jest funkcja windykacyjna. Podstawę do takiego twie</w:t>
      </w:r>
      <w:r w:rsidR="00042438">
        <w:rPr>
          <w:rFonts w:ascii="Times New Roman" w:eastAsia="Calibri" w:hAnsi="Times New Roman" w:cs="Times New Roman"/>
          <w:sz w:val="24"/>
          <w:szCs w:val="24"/>
        </w:rPr>
        <w:t>rdzenia stanowi treść art. 2 PU</w:t>
      </w:r>
      <w:r w:rsidRPr="006E1109">
        <w:rPr>
          <w:rFonts w:ascii="Times New Roman" w:eastAsia="Calibri" w:hAnsi="Times New Roman" w:cs="Times New Roman"/>
          <w:sz w:val="24"/>
          <w:szCs w:val="24"/>
        </w:rPr>
        <w:t xml:space="preserve">, zgodnie z którym uregulowane ustawą postępowania należy prowadzić tak, aby roszczenia wierzycieli mogły zostać zaspokojone w jak najwyższym stopniu, a jeśli racjonalne względy na to pozwolą — dotychczasowe przedsiębiorstwo dłużnika zostało zachowane. Wyrażona w tym przepisie zasada określana jest jako zasada maksymalnego zaspokojenia wierzycieli, prymatu interesów wierzycieli lub zasada optymalizacji (także jako zasada optymalnego wykorzystania majątku upadłego w celu zaspokojenia wierzycieli). </w:t>
      </w:r>
      <w:r w:rsidR="003E04F0">
        <w:rPr>
          <w:rFonts w:ascii="Times New Roman" w:eastAsia="Calibri" w:hAnsi="Times New Roman" w:cs="Times New Roman"/>
          <w:sz w:val="24"/>
          <w:szCs w:val="24"/>
        </w:rPr>
        <w:t>Według uzasadnienia projektu PU</w:t>
      </w:r>
      <w:r w:rsidRPr="006E1109">
        <w:rPr>
          <w:rFonts w:ascii="Times New Roman" w:eastAsia="Calibri" w:hAnsi="Times New Roman" w:cs="Times New Roman"/>
          <w:sz w:val="24"/>
          <w:szCs w:val="24"/>
        </w:rPr>
        <w:t xml:space="preserve"> stanowi ona jedną z naczelnych (podstawowych) zasad prawa upadłościowego, przyjętych już </w:t>
      </w:r>
      <w:r w:rsidR="003E04F0">
        <w:rPr>
          <w:rFonts w:ascii="Times New Roman" w:eastAsia="Calibri" w:hAnsi="Times New Roman" w:cs="Times New Roman"/>
          <w:sz w:val="24"/>
          <w:szCs w:val="24"/>
        </w:rPr>
        <w:t>na etapie tworzenia projektu</w:t>
      </w:r>
      <w:r w:rsidRPr="006E1109">
        <w:rPr>
          <w:rFonts w:ascii="Times New Roman" w:eastAsia="Calibri" w:hAnsi="Times New Roman" w:cs="Times New Roman"/>
          <w:sz w:val="24"/>
          <w:szCs w:val="24"/>
        </w:rPr>
        <w:t xml:space="preserve">. </w:t>
      </w:r>
    </w:p>
    <w:p w14:paraId="5500F786" w14:textId="77777777" w:rsidR="003E04F0" w:rsidRDefault="006E1109" w:rsidP="006E1109">
      <w:pPr>
        <w:spacing w:after="0" w:line="360" w:lineRule="auto"/>
        <w:jc w:val="both"/>
        <w:rPr>
          <w:rFonts w:ascii="Times New Roman" w:eastAsia="Calibri" w:hAnsi="Times New Roman" w:cs="Times New Roman"/>
          <w:sz w:val="24"/>
          <w:szCs w:val="24"/>
        </w:rPr>
      </w:pPr>
      <w:r w:rsidRPr="006E1109">
        <w:rPr>
          <w:rFonts w:ascii="Times New Roman" w:eastAsia="Calibri" w:hAnsi="Times New Roman" w:cs="Times New Roman"/>
          <w:sz w:val="24"/>
          <w:szCs w:val="24"/>
        </w:rPr>
        <w:tab/>
        <w:t>Wyznacza ona kierune</w:t>
      </w:r>
      <w:r w:rsidR="003E04F0">
        <w:rPr>
          <w:rFonts w:ascii="Times New Roman" w:eastAsia="Calibri" w:hAnsi="Times New Roman" w:cs="Times New Roman"/>
          <w:sz w:val="24"/>
          <w:szCs w:val="24"/>
        </w:rPr>
        <w:t xml:space="preserve">k postępowania </w:t>
      </w:r>
      <w:r w:rsidRPr="006E1109">
        <w:rPr>
          <w:rFonts w:ascii="Times New Roman" w:eastAsia="Calibri" w:hAnsi="Times New Roman" w:cs="Times New Roman"/>
          <w:sz w:val="24"/>
          <w:szCs w:val="24"/>
        </w:rPr>
        <w:t>upadłościowego jako postępowania zmierzającego przede wszystkim do zaspokojenia w jak najwyższym stopniu wierzycieli upadłego, a nie do utrzymania przedsiębiorstwa dłużnika</w:t>
      </w:r>
      <w:r w:rsidR="003E04F0">
        <w:rPr>
          <w:rFonts w:ascii="Times New Roman" w:eastAsia="Calibri" w:hAnsi="Times New Roman" w:cs="Times New Roman"/>
          <w:sz w:val="24"/>
          <w:szCs w:val="24"/>
        </w:rPr>
        <w:t>, co jest z</w:t>
      </w:r>
      <w:r w:rsidRPr="006E1109">
        <w:rPr>
          <w:rFonts w:ascii="Times New Roman" w:eastAsia="Calibri" w:hAnsi="Times New Roman" w:cs="Times New Roman"/>
          <w:sz w:val="24"/>
          <w:szCs w:val="24"/>
        </w:rPr>
        <w:t xml:space="preserve">asadniczym celem </w:t>
      </w:r>
      <w:r w:rsidR="003E04F0">
        <w:rPr>
          <w:rFonts w:ascii="Times New Roman" w:eastAsia="Calibri" w:hAnsi="Times New Roman" w:cs="Times New Roman"/>
          <w:sz w:val="24"/>
          <w:szCs w:val="24"/>
        </w:rPr>
        <w:t xml:space="preserve">tego </w:t>
      </w:r>
      <w:r w:rsidRPr="006E1109">
        <w:rPr>
          <w:rFonts w:ascii="Times New Roman" w:eastAsia="Calibri" w:hAnsi="Times New Roman" w:cs="Times New Roman"/>
          <w:sz w:val="24"/>
          <w:szCs w:val="24"/>
        </w:rPr>
        <w:lastRenderedPageBreak/>
        <w:t>postępowania. Majątek upadłego (ewentualnie przedsiębiorcy objętego postępowaniem naprawczym) powinien zostać wykorzystany w sposób optymalny, to jest do zaspokojenia jego wierzycieli, w miarę możliwości, jak najwyższym stopniu.</w:t>
      </w:r>
      <w:r w:rsidR="003E04F0">
        <w:rPr>
          <w:rFonts w:ascii="Times New Roman" w:eastAsia="Calibri" w:hAnsi="Times New Roman" w:cs="Times New Roman"/>
          <w:sz w:val="24"/>
          <w:szCs w:val="24"/>
        </w:rPr>
        <w:t xml:space="preserve"> Tylko w przypadku upadłych będących osobami fizycznymi p</w:t>
      </w:r>
      <w:r w:rsidR="003E04F0" w:rsidRPr="003E04F0">
        <w:rPr>
          <w:rFonts w:ascii="Times New Roman" w:eastAsia="Calibri" w:hAnsi="Times New Roman" w:cs="Times New Roman"/>
          <w:sz w:val="24"/>
          <w:szCs w:val="24"/>
        </w:rPr>
        <w:t>ostępowanie uregulowane ustawą należy prowadzić również tak, aby umożliwić umorzenie zobowiązań upadłego niewykonanych w postępowaniu upadłościowym</w:t>
      </w:r>
      <w:r w:rsidRPr="006E1109">
        <w:rPr>
          <w:rFonts w:ascii="Times New Roman" w:eastAsia="Calibri" w:hAnsi="Times New Roman" w:cs="Times New Roman"/>
          <w:sz w:val="24"/>
          <w:szCs w:val="24"/>
        </w:rPr>
        <w:t xml:space="preserve">. </w:t>
      </w:r>
      <w:r w:rsidR="003E04F0">
        <w:rPr>
          <w:rFonts w:ascii="Times New Roman" w:eastAsia="Calibri" w:hAnsi="Times New Roman" w:cs="Times New Roman"/>
          <w:sz w:val="24"/>
          <w:szCs w:val="24"/>
        </w:rPr>
        <w:t>Odstępstwa od tej zasady widoczne są również w niektórych odrębnych postępowaniach upadłościowych (np. upadłość deweloperska).</w:t>
      </w:r>
      <w:r w:rsidRPr="006E1109">
        <w:rPr>
          <w:rFonts w:ascii="Times New Roman" w:eastAsia="Calibri" w:hAnsi="Times New Roman" w:cs="Times New Roman"/>
          <w:sz w:val="24"/>
          <w:szCs w:val="24"/>
        </w:rPr>
        <w:tab/>
      </w:r>
    </w:p>
    <w:p w14:paraId="2124A4F3" w14:textId="77777777" w:rsidR="003E04F0" w:rsidRDefault="003E04F0" w:rsidP="006E1109">
      <w:pPr>
        <w:spacing w:after="0" w:line="360" w:lineRule="auto"/>
        <w:jc w:val="both"/>
        <w:rPr>
          <w:rFonts w:ascii="Times New Roman" w:eastAsia="Calibri" w:hAnsi="Times New Roman" w:cs="Times New Roman"/>
          <w:sz w:val="24"/>
          <w:szCs w:val="24"/>
        </w:rPr>
      </w:pPr>
    </w:p>
    <w:p w14:paraId="15D8CCE1" w14:textId="77777777" w:rsidR="003E04F0" w:rsidRPr="003E04F0" w:rsidRDefault="003E04F0" w:rsidP="003E04F0">
      <w:pPr>
        <w:spacing w:after="0" w:line="36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2.2. </w:t>
      </w:r>
      <w:r w:rsidRPr="003E04F0">
        <w:rPr>
          <w:rFonts w:ascii="Times New Roman" w:eastAsia="Calibri" w:hAnsi="Times New Roman" w:cs="Times New Roman"/>
          <w:b/>
          <w:sz w:val="24"/>
          <w:szCs w:val="24"/>
        </w:rPr>
        <w:t xml:space="preserve">Zasada dominacji grupowego interesu wierzycieli </w:t>
      </w:r>
    </w:p>
    <w:p w14:paraId="39389BF8" w14:textId="77777777" w:rsidR="003E04F0" w:rsidRPr="003E04F0" w:rsidRDefault="003E04F0" w:rsidP="003E04F0">
      <w:pPr>
        <w:spacing w:after="0" w:line="360" w:lineRule="auto"/>
        <w:jc w:val="both"/>
        <w:rPr>
          <w:rFonts w:ascii="Times New Roman" w:eastAsia="Calibri" w:hAnsi="Times New Roman" w:cs="Times New Roman"/>
          <w:sz w:val="24"/>
          <w:szCs w:val="24"/>
        </w:rPr>
      </w:pPr>
      <w:r w:rsidRPr="003E04F0">
        <w:rPr>
          <w:rFonts w:ascii="Times New Roman" w:eastAsia="Calibri" w:hAnsi="Times New Roman" w:cs="Times New Roman"/>
          <w:sz w:val="24"/>
          <w:szCs w:val="24"/>
        </w:rPr>
        <w:tab/>
        <w:t xml:space="preserve"> </w:t>
      </w:r>
    </w:p>
    <w:p w14:paraId="4BC456D4" w14:textId="77777777" w:rsidR="003E04F0" w:rsidRPr="003E04F0" w:rsidRDefault="003E04F0" w:rsidP="003E04F0">
      <w:pPr>
        <w:spacing w:after="0" w:line="360" w:lineRule="auto"/>
        <w:jc w:val="both"/>
        <w:rPr>
          <w:rFonts w:ascii="Times New Roman" w:eastAsia="Calibri" w:hAnsi="Times New Roman" w:cs="Times New Roman"/>
          <w:sz w:val="24"/>
          <w:szCs w:val="24"/>
        </w:rPr>
      </w:pPr>
      <w:r w:rsidRPr="003E04F0">
        <w:rPr>
          <w:rFonts w:ascii="Times New Roman" w:eastAsia="Calibri" w:hAnsi="Times New Roman" w:cs="Times New Roman"/>
          <w:sz w:val="24"/>
          <w:szCs w:val="24"/>
        </w:rPr>
        <w:tab/>
      </w:r>
      <w:r>
        <w:rPr>
          <w:rFonts w:ascii="Times New Roman" w:eastAsia="Calibri" w:hAnsi="Times New Roman" w:cs="Times New Roman"/>
          <w:sz w:val="24"/>
          <w:szCs w:val="24"/>
        </w:rPr>
        <w:t>W postępowaniu upadłościowym niejednokrotnie występować mogą k</w:t>
      </w:r>
      <w:r w:rsidRPr="003E04F0">
        <w:rPr>
          <w:rFonts w:ascii="Times New Roman" w:eastAsia="Calibri" w:hAnsi="Times New Roman" w:cs="Times New Roman"/>
          <w:sz w:val="24"/>
          <w:szCs w:val="24"/>
        </w:rPr>
        <w:t xml:space="preserve">onflikty interesów pomiędzy różnymi grupami wierzycieli upadłego, gdyż, na co zwrócono już uwagę w uzasadnieniu do projektu PU interesy poszczególnych jego wierzycieli nie są równe. Tworząc przepisy prawa upadłościowego, ustawodawca staje przed trudnym zadaniem, aby owe sprzeczne interesy różnych wierzycieli upadłego w jak największym stopniu pogodzić. </w:t>
      </w:r>
    </w:p>
    <w:p w14:paraId="4643E5C5" w14:textId="77777777" w:rsidR="003E04F0" w:rsidRDefault="003E04F0" w:rsidP="003E04F0">
      <w:pPr>
        <w:spacing w:after="0" w:line="360" w:lineRule="auto"/>
        <w:jc w:val="both"/>
        <w:rPr>
          <w:rFonts w:ascii="Times New Roman" w:eastAsia="Calibri" w:hAnsi="Times New Roman" w:cs="Times New Roman"/>
          <w:sz w:val="24"/>
          <w:szCs w:val="24"/>
        </w:rPr>
      </w:pPr>
      <w:r w:rsidRPr="003E04F0">
        <w:rPr>
          <w:rFonts w:ascii="Times New Roman" w:eastAsia="Calibri" w:hAnsi="Times New Roman" w:cs="Times New Roman"/>
          <w:sz w:val="24"/>
          <w:szCs w:val="24"/>
        </w:rPr>
        <w:tab/>
      </w:r>
      <w:r>
        <w:rPr>
          <w:rFonts w:ascii="Times New Roman" w:eastAsia="Calibri" w:hAnsi="Times New Roman" w:cs="Times New Roman"/>
          <w:sz w:val="24"/>
          <w:szCs w:val="24"/>
        </w:rPr>
        <w:t>Regulacje PU</w:t>
      </w:r>
      <w:r w:rsidRPr="003E04F0">
        <w:rPr>
          <w:rFonts w:ascii="Times New Roman" w:eastAsia="Calibri" w:hAnsi="Times New Roman" w:cs="Times New Roman"/>
          <w:sz w:val="24"/>
          <w:szCs w:val="24"/>
        </w:rPr>
        <w:t xml:space="preserve"> wskazują, że ustawodawca - co do zasady - rozstrzyga konflikt  pomiędzy indywidualnymi interesami poszczególnych wierzycieli upadłego a interesem grupowym ogółu jego wierzycieli, na korzyść owego interesu grupowego. W myśl obowiązującej w postępowaniu upadłościowym zasady dominacji grupowego interesu wierzycieli upadłego (określanej niekiedy również jako zasada nadrzędności wspólnego interesu wierzycieli), partykularne interesy poszczególnych wierzycieli upadłego zostają w postępowaniu upadłościowym podporządkowane nadrzędnemu, zobiektywizowanemu interesowi większości jego wierzycieli. Zasada ta odpowiada w szczególności przedstawionej wyżej idei postępowania upadłościowego (zwłaszcza obejmującego likwidację majątku upadłego) jako egzekucji generalnej, prowadzonej  z całego majątku upadłego, na rzecz wszystkich jego wierzycieli, w celu ich równomiernego zaspokojenia.  Postępowanie u</w:t>
      </w:r>
      <w:r w:rsidR="00791735">
        <w:rPr>
          <w:rFonts w:ascii="Times New Roman" w:eastAsia="Calibri" w:hAnsi="Times New Roman" w:cs="Times New Roman"/>
          <w:sz w:val="24"/>
          <w:szCs w:val="24"/>
        </w:rPr>
        <w:t xml:space="preserve">padłościowe </w:t>
      </w:r>
      <w:r w:rsidRPr="003E04F0">
        <w:rPr>
          <w:rFonts w:ascii="Times New Roman" w:eastAsia="Calibri" w:hAnsi="Times New Roman" w:cs="Times New Roman"/>
          <w:sz w:val="24"/>
          <w:szCs w:val="24"/>
        </w:rPr>
        <w:t xml:space="preserve">powinno być zatem ukształtowane tak, by korzyści odniósł ogół wierzycieli upadłego, a nie tylko niektórzy z nich. W sytuacji, gdy w postępowaniu upadłościowym istnieje konflikt pomiędzy partykularnymi interesami poszczególnych wierzycieli upadłego (a także pomiędzy interesami poszczególnych grup takich wierzycieli), właściwa realizacja głównego celu tego postępowania, a zatem zaspokojenia wierzycieli w jak największym stopniu, wymaga zatem z reguły przyjęcia zasady prymatu interesu grupowego wierzycieli upadłego – często kosztem ograniczenia ich indywidualnych uprawnień. </w:t>
      </w:r>
    </w:p>
    <w:p w14:paraId="35D29FD7" w14:textId="77777777" w:rsidR="00791735" w:rsidRDefault="00791735" w:rsidP="003E04F0">
      <w:pPr>
        <w:spacing w:after="0" w:line="360" w:lineRule="auto"/>
        <w:jc w:val="both"/>
        <w:rPr>
          <w:rFonts w:ascii="Times New Roman" w:eastAsia="Calibri" w:hAnsi="Times New Roman" w:cs="Times New Roman"/>
          <w:sz w:val="24"/>
          <w:szCs w:val="24"/>
        </w:rPr>
      </w:pPr>
    </w:p>
    <w:p w14:paraId="6C4ADCCF" w14:textId="77777777" w:rsidR="00381ACD" w:rsidRDefault="00381ACD" w:rsidP="003E04F0">
      <w:pPr>
        <w:spacing w:after="0" w:line="360" w:lineRule="auto"/>
        <w:jc w:val="both"/>
        <w:rPr>
          <w:rFonts w:ascii="Times New Roman" w:eastAsia="Calibri" w:hAnsi="Times New Roman" w:cs="Times New Roman"/>
          <w:sz w:val="24"/>
          <w:szCs w:val="24"/>
        </w:rPr>
      </w:pPr>
    </w:p>
    <w:p w14:paraId="0F05EC03" w14:textId="77777777" w:rsidR="00791735" w:rsidRPr="00791735" w:rsidRDefault="00791735" w:rsidP="00791735">
      <w:pPr>
        <w:spacing w:after="0" w:line="360" w:lineRule="auto"/>
        <w:ind w:left="567" w:hanging="567"/>
        <w:jc w:val="both"/>
        <w:rPr>
          <w:rFonts w:ascii="Times New Roman" w:eastAsia="Calibri" w:hAnsi="Times New Roman" w:cs="Times New Roman"/>
          <w:b/>
          <w:sz w:val="24"/>
          <w:szCs w:val="24"/>
        </w:rPr>
      </w:pPr>
      <w:r w:rsidRPr="00791735">
        <w:rPr>
          <w:rFonts w:ascii="Times New Roman" w:eastAsia="Calibri" w:hAnsi="Times New Roman" w:cs="Times New Roman"/>
          <w:b/>
          <w:sz w:val="24"/>
          <w:szCs w:val="24"/>
        </w:rPr>
        <w:t>2.3. Zasada prymatu interesu wierzycieli zabezpieczonych prawami zastawniczymi na majątku upadłego</w:t>
      </w:r>
    </w:p>
    <w:p w14:paraId="713BD779" w14:textId="77777777" w:rsidR="00791735" w:rsidRPr="003E04F0" w:rsidRDefault="00791735" w:rsidP="003E04F0">
      <w:pPr>
        <w:spacing w:after="0" w:line="360" w:lineRule="auto"/>
        <w:jc w:val="both"/>
        <w:rPr>
          <w:rFonts w:ascii="Times New Roman" w:eastAsia="Calibri" w:hAnsi="Times New Roman" w:cs="Times New Roman"/>
          <w:sz w:val="24"/>
          <w:szCs w:val="24"/>
        </w:rPr>
      </w:pPr>
    </w:p>
    <w:p w14:paraId="1FC6397D" w14:textId="77777777" w:rsidR="003E04F0" w:rsidRPr="003E04F0" w:rsidRDefault="003E04F0" w:rsidP="003E04F0">
      <w:pPr>
        <w:spacing w:after="0" w:line="360" w:lineRule="auto"/>
        <w:jc w:val="both"/>
        <w:rPr>
          <w:rFonts w:ascii="Times New Roman" w:eastAsia="Calibri" w:hAnsi="Times New Roman" w:cs="Times New Roman"/>
          <w:sz w:val="24"/>
          <w:szCs w:val="24"/>
        </w:rPr>
      </w:pPr>
      <w:r w:rsidRPr="003E04F0">
        <w:rPr>
          <w:rFonts w:ascii="Times New Roman" w:eastAsia="Calibri" w:hAnsi="Times New Roman" w:cs="Times New Roman"/>
          <w:sz w:val="24"/>
          <w:szCs w:val="24"/>
        </w:rPr>
        <w:tab/>
        <w:t xml:space="preserve">Konflikt pomiędzy partykularnymi interesami poszczególnych wierzycieli upadłego a interesem grupowym ogółu jego wierzycieli, rysuje się szczególnie wyraźnie w przypadku wierzytelności zabezpieczonych obciążającymi majątek upadłego prawami zastawniczymi, jako konflikt pomiędzy interesami wierzycieli rzeczowych upadłego, a wierzycieli niezabezpieczonych. Zasadnicze znaczenie ma zwłaszcza kwestia ewentualnego utrzymania w postępowaniu upadłościowym pierwszeństwa wierzycieli zabezpieczonych rzeczowo do uzyskania zaspokojenia z przedmiotu zabezpieczenia przed innymi wierzycielami danego dłużnika rzeczowego, co determinuje sposób podziału sumy uzyskanej z likwidacji obciążonego prawem zastawniczym składnika masy upadłości w ramach postępowania upadłościowego. Ustawodawca mógł, rozstrzygając tę kwestię, przyznać bądź prymat interesom indywidualnym wierzycieli zabezpieczonych rzeczowo, bądź interesowi grupowemu wszystkich jego wierzycieli, zwłaszcza nie posiadających zabezpieczenia. W obecnym stanie przyjęte w przepisach </w:t>
      </w:r>
      <w:r w:rsidR="00791735">
        <w:rPr>
          <w:rFonts w:ascii="Times New Roman" w:eastAsia="Calibri" w:hAnsi="Times New Roman" w:cs="Times New Roman"/>
          <w:sz w:val="24"/>
          <w:szCs w:val="24"/>
        </w:rPr>
        <w:t>PU</w:t>
      </w:r>
      <w:r w:rsidRPr="003E04F0">
        <w:rPr>
          <w:rFonts w:ascii="Times New Roman" w:eastAsia="Calibri" w:hAnsi="Times New Roman" w:cs="Times New Roman"/>
          <w:sz w:val="24"/>
          <w:szCs w:val="24"/>
        </w:rPr>
        <w:t xml:space="preserve"> rozwiązania przyznają pierwszeństwo interesom indywidualnym wierzycieli rzeczowych upadłego przed interesem grupowym pozostałych jego wierzycieli. Wskazują na to wyraźnie szczególne regulacje, uprzywilejowujące w postępowaniu upadłościowym obejmującym likwidację majątku upadłego wierzytelności zabezpieczonych prawami zastawniczymi, zwłaszcza na, tak istotnym dla wierzycieli upadłego etapie ich zaspokojenia, czego najpełniejszy przejaw stanowi przyznane im prawa odrębności umożliwiające zaspokojenie tych wierzytelności z sumy uzyskanej z likwidacji przedmiotu zabezpieczenia w drodze odrębnego planu podziału, a zatem z pierwszeństwem przed wierzytelnościami niezabezpieczonymi. Pomimo dążenia do zapewnienia w postępowaniu upadłościowym ochrony grupowego interesu wierzycieli upadłego, ustawodawca nie zdecydował się zatem na wyeliminowanie szczególnej ochrony, przysługującej wierzycielom, których wierzytelności zostały przed ogłoszeniem upadłości dłużnika zabezpieczone ustanowionymi na jego majątku prawami zastawniczymi. Wynikająca z omawianej zasady ochrona przyznawana ogółowi wierzycieli biorących udział w postępowaniu upadłościowym nie podważa szczególnej ochrony niektórych wierzycieli, wynikającej z zabezpieczenia ich roszczeń prawami zastawniczymi.</w:t>
      </w:r>
    </w:p>
    <w:p w14:paraId="1298460E" w14:textId="77777777" w:rsidR="003E04F0" w:rsidRDefault="003E04F0" w:rsidP="003E04F0">
      <w:pPr>
        <w:spacing w:after="0" w:line="360" w:lineRule="auto"/>
        <w:jc w:val="both"/>
        <w:rPr>
          <w:rFonts w:ascii="Times New Roman" w:eastAsia="Calibri" w:hAnsi="Times New Roman" w:cs="Times New Roman"/>
          <w:sz w:val="24"/>
          <w:szCs w:val="24"/>
        </w:rPr>
      </w:pPr>
      <w:r w:rsidRPr="003E04F0">
        <w:rPr>
          <w:rFonts w:ascii="Times New Roman" w:eastAsia="Calibri" w:hAnsi="Times New Roman" w:cs="Times New Roman"/>
          <w:sz w:val="24"/>
          <w:szCs w:val="24"/>
        </w:rPr>
        <w:tab/>
        <w:t xml:space="preserve">Należy przy tym jednak bardzo wyraźnie podkreślić, iż regulacje takie, przyznające prymat indywidualnym interesom  niektórych tylko wierzycieli upadłego – kosztem interesu </w:t>
      </w:r>
      <w:r w:rsidRPr="003E04F0">
        <w:rPr>
          <w:rFonts w:ascii="Times New Roman" w:eastAsia="Calibri" w:hAnsi="Times New Roman" w:cs="Times New Roman"/>
          <w:sz w:val="24"/>
          <w:szCs w:val="24"/>
        </w:rPr>
        <w:lastRenderedPageBreak/>
        <w:t>grupowego wszystkich jego wierzycieli</w:t>
      </w:r>
      <w:r w:rsidR="00791735">
        <w:rPr>
          <w:rFonts w:ascii="Times New Roman" w:eastAsia="Calibri" w:hAnsi="Times New Roman" w:cs="Times New Roman"/>
          <w:sz w:val="24"/>
          <w:szCs w:val="24"/>
        </w:rPr>
        <w:t>, są na gruncie PU</w:t>
      </w:r>
      <w:r w:rsidRPr="003E04F0">
        <w:rPr>
          <w:rFonts w:ascii="Times New Roman" w:eastAsia="Calibri" w:hAnsi="Times New Roman" w:cs="Times New Roman"/>
          <w:sz w:val="24"/>
          <w:szCs w:val="24"/>
        </w:rPr>
        <w:t xml:space="preserve"> wyjątkiem. Szczególna pozycja wierzytelności zabezpieczonych prawami zastawniczymi w postępowaniu upadłościowym obejmującym likwidację majątku upadłego, jest w dużej mierze dlatego warta uwagi, iż statuujące ją regulacje jednocześnie stanowią znaczący wyłom we wskazanej zasadzie dominacji grupowego interesu wierzycieli upadłego, stawiając w tym konkretnym przypadku na pierwszym miejscu interesy indywidualne wierzycieli zabezpieczonych prawami zastawniczymi, kosztem interesu grupowego pozostałych wierzycieli upadłego.</w:t>
      </w:r>
    </w:p>
    <w:p w14:paraId="76C45229" w14:textId="77777777" w:rsidR="00791735" w:rsidRDefault="00791735" w:rsidP="003E04F0">
      <w:pPr>
        <w:spacing w:after="0" w:line="360" w:lineRule="auto"/>
        <w:jc w:val="both"/>
        <w:rPr>
          <w:rFonts w:ascii="Times New Roman" w:eastAsia="Calibri" w:hAnsi="Times New Roman" w:cs="Times New Roman"/>
          <w:sz w:val="24"/>
          <w:szCs w:val="24"/>
        </w:rPr>
      </w:pPr>
    </w:p>
    <w:p w14:paraId="6490EF3F" w14:textId="77777777" w:rsidR="00791735" w:rsidRPr="00791735" w:rsidRDefault="00791735" w:rsidP="003E04F0">
      <w:pPr>
        <w:spacing w:after="0" w:line="360" w:lineRule="auto"/>
        <w:jc w:val="both"/>
        <w:rPr>
          <w:rFonts w:ascii="Times New Roman" w:eastAsia="Calibri" w:hAnsi="Times New Roman" w:cs="Times New Roman"/>
          <w:b/>
          <w:sz w:val="24"/>
          <w:szCs w:val="24"/>
        </w:rPr>
      </w:pPr>
      <w:r w:rsidRPr="00791735">
        <w:rPr>
          <w:rFonts w:ascii="Times New Roman" w:eastAsia="Calibri" w:hAnsi="Times New Roman" w:cs="Times New Roman"/>
          <w:b/>
          <w:sz w:val="24"/>
          <w:szCs w:val="24"/>
        </w:rPr>
        <w:t>2.4. Zasada wszczynania postępowania upadłościowego na wniosek</w:t>
      </w:r>
    </w:p>
    <w:p w14:paraId="27372392" w14:textId="77777777" w:rsidR="00791735" w:rsidRDefault="00791735" w:rsidP="003E04F0">
      <w:pPr>
        <w:spacing w:after="0" w:line="360" w:lineRule="auto"/>
        <w:jc w:val="both"/>
        <w:rPr>
          <w:rFonts w:ascii="Times New Roman" w:eastAsia="Calibri" w:hAnsi="Times New Roman" w:cs="Times New Roman"/>
          <w:sz w:val="24"/>
          <w:szCs w:val="24"/>
        </w:rPr>
      </w:pPr>
    </w:p>
    <w:p w14:paraId="095C7029" w14:textId="77777777" w:rsidR="007540CB" w:rsidRDefault="00791735" w:rsidP="003E04F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Zgodnie z Art. 3 PU p</w:t>
      </w:r>
      <w:r w:rsidRPr="00791735">
        <w:rPr>
          <w:rFonts w:ascii="Times New Roman" w:eastAsia="Calibri" w:hAnsi="Times New Roman" w:cs="Times New Roman"/>
          <w:sz w:val="24"/>
          <w:szCs w:val="24"/>
        </w:rPr>
        <w:t>ostępowanie uregulowane ustawą może być wszczęte tylko na wniosek złożony przez podmioty określone w ustawie</w:t>
      </w:r>
      <w:r>
        <w:rPr>
          <w:rFonts w:ascii="Times New Roman" w:eastAsia="Calibri" w:hAnsi="Times New Roman" w:cs="Times New Roman"/>
          <w:sz w:val="24"/>
          <w:szCs w:val="24"/>
        </w:rPr>
        <w:t>. Wynika z tego, że nie jest możliwe wszczęcie postępowania upadłościowego przez sąd z urzędu. Podmioty uprawnione do złożenia wniosku zostaną omówione w temacie poświęconym procedurze wszczęcia postępowania upadłościowego.</w:t>
      </w:r>
    </w:p>
    <w:p w14:paraId="3A477963" w14:textId="77777777" w:rsidR="007540CB" w:rsidRDefault="007540CB" w:rsidP="003E04F0">
      <w:pPr>
        <w:spacing w:after="0" w:line="360" w:lineRule="auto"/>
        <w:jc w:val="both"/>
        <w:rPr>
          <w:rFonts w:ascii="Times New Roman" w:eastAsia="Calibri" w:hAnsi="Times New Roman" w:cs="Times New Roman"/>
          <w:sz w:val="24"/>
          <w:szCs w:val="24"/>
        </w:rPr>
      </w:pPr>
    </w:p>
    <w:p w14:paraId="6308900C" w14:textId="77777777" w:rsidR="00791735" w:rsidRDefault="007540CB" w:rsidP="003E04F0">
      <w:pPr>
        <w:spacing w:after="0" w:line="360" w:lineRule="auto"/>
        <w:jc w:val="both"/>
        <w:rPr>
          <w:rFonts w:ascii="Times New Roman" w:eastAsia="Calibri" w:hAnsi="Times New Roman" w:cs="Times New Roman"/>
          <w:sz w:val="24"/>
          <w:szCs w:val="24"/>
        </w:rPr>
      </w:pPr>
      <w:r w:rsidRPr="007540CB">
        <w:rPr>
          <w:rFonts w:ascii="Times New Roman" w:eastAsia="Calibri" w:hAnsi="Times New Roman" w:cs="Times New Roman"/>
          <w:b/>
          <w:sz w:val="24"/>
          <w:szCs w:val="24"/>
        </w:rPr>
        <w:t>2.5. Zasada podziału wierzytelności na kategorie</w:t>
      </w:r>
      <w:r w:rsidR="00791735" w:rsidRPr="007540CB">
        <w:rPr>
          <w:rFonts w:ascii="Times New Roman" w:eastAsia="Calibri" w:hAnsi="Times New Roman" w:cs="Times New Roman"/>
          <w:b/>
          <w:sz w:val="24"/>
          <w:szCs w:val="24"/>
        </w:rPr>
        <w:t xml:space="preserve"> </w:t>
      </w:r>
    </w:p>
    <w:p w14:paraId="5A8B0854" w14:textId="77777777" w:rsidR="007540CB" w:rsidRDefault="007540CB" w:rsidP="003E04F0">
      <w:pPr>
        <w:spacing w:after="0" w:line="360" w:lineRule="auto"/>
        <w:jc w:val="both"/>
        <w:rPr>
          <w:rFonts w:ascii="Times New Roman" w:eastAsia="Calibri" w:hAnsi="Times New Roman" w:cs="Times New Roman"/>
          <w:sz w:val="24"/>
          <w:szCs w:val="24"/>
        </w:rPr>
      </w:pPr>
    </w:p>
    <w:p w14:paraId="22CB74E8" w14:textId="77777777" w:rsidR="007540CB" w:rsidRPr="007540CB" w:rsidRDefault="007540CB" w:rsidP="003E04F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Należności podlegające </w:t>
      </w:r>
      <w:r w:rsidRPr="007540CB">
        <w:rPr>
          <w:rFonts w:ascii="Times New Roman" w:eastAsia="Calibri" w:hAnsi="Times New Roman" w:cs="Times New Roman"/>
          <w:sz w:val="24"/>
          <w:szCs w:val="24"/>
        </w:rPr>
        <w:t xml:space="preserve">zaspokojeniu z funduszów masy upadłości </w:t>
      </w:r>
      <w:r w:rsidR="00293433">
        <w:rPr>
          <w:rFonts w:ascii="Times New Roman" w:eastAsia="Calibri" w:hAnsi="Times New Roman" w:cs="Times New Roman"/>
          <w:sz w:val="24"/>
          <w:szCs w:val="24"/>
        </w:rPr>
        <w:t>są dzielone</w:t>
      </w:r>
      <w:r w:rsidRPr="007540CB">
        <w:rPr>
          <w:rFonts w:ascii="Times New Roman" w:eastAsia="Calibri" w:hAnsi="Times New Roman" w:cs="Times New Roman"/>
          <w:sz w:val="24"/>
          <w:szCs w:val="24"/>
        </w:rPr>
        <w:t xml:space="preserve"> na </w:t>
      </w:r>
      <w:r w:rsidR="00293433">
        <w:rPr>
          <w:rFonts w:ascii="Times New Roman" w:eastAsia="Calibri" w:hAnsi="Times New Roman" w:cs="Times New Roman"/>
          <w:sz w:val="24"/>
          <w:szCs w:val="24"/>
        </w:rPr>
        <w:t xml:space="preserve">określone w ustawie (art. 342 PU) kategorie i są zaspokajane kolejno kategoriami, w oparciu o plan podziału. </w:t>
      </w:r>
      <w:r w:rsidR="00293433" w:rsidRPr="00293433">
        <w:rPr>
          <w:rFonts w:ascii="Times New Roman" w:eastAsia="Calibri" w:hAnsi="Times New Roman" w:cs="Times New Roman"/>
          <w:sz w:val="24"/>
          <w:szCs w:val="24"/>
        </w:rPr>
        <w:t>Jeżeli suma przeznaczona do podziału nie wystarcza na zaspokojenie w całości wszystkich należności, należności dalszej kategorii zaspokaja się dopiero po zaspokojeniu w całości wszystkich należności zaliczonych do kategorii poprzednich.</w:t>
      </w:r>
      <w:r w:rsidR="00293433">
        <w:rPr>
          <w:rFonts w:ascii="Times New Roman" w:eastAsia="Calibri" w:hAnsi="Times New Roman" w:cs="Times New Roman"/>
          <w:sz w:val="24"/>
          <w:szCs w:val="24"/>
        </w:rPr>
        <w:t xml:space="preserve"> </w:t>
      </w:r>
      <w:r w:rsidR="00293433" w:rsidRPr="00293433">
        <w:rPr>
          <w:rFonts w:ascii="Times New Roman" w:eastAsia="Calibri" w:hAnsi="Times New Roman" w:cs="Times New Roman"/>
          <w:sz w:val="24"/>
          <w:szCs w:val="24"/>
        </w:rPr>
        <w:t>Gdy majątek nie wystarcza na zaspokojenie wszystkich należności tej samej kategorii, należności te zaspokaja się proporcjonalnie do wysokości każdej z nich – a zatem wszyscy wierzyciele z danej  kategorii otrzymują taki sam procent swojej należności</w:t>
      </w:r>
      <w:r w:rsidR="00293433">
        <w:rPr>
          <w:rFonts w:ascii="Times New Roman" w:eastAsia="Calibri" w:hAnsi="Times New Roman" w:cs="Times New Roman"/>
          <w:sz w:val="24"/>
          <w:szCs w:val="24"/>
        </w:rPr>
        <w:t>. te zostaną bliżej omówione w temacie dotyczącym podziału funduszów masy upadłości.</w:t>
      </w:r>
    </w:p>
    <w:p w14:paraId="72509B74" w14:textId="77777777" w:rsidR="006E1109" w:rsidRPr="006E1109" w:rsidRDefault="006E1109" w:rsidP="006E1109">
      <w:pPr>
        <w:spacing w:after="0" w:line="360" w:lineRule="auto"/>
        <w:jc w:val="both"/>
        <w:rPr>
          <w:rFonts w:ascii="Times New Roman" w:eastAsia="Calibri" w:hAnsi="Times New Roman" w:cs="Times New Roman"/>
          <w:sz w:val="24"/>
          <w:szCs w:val="24"/>
        </w:rPr>
      </w:pPr>
      <w:r w:rsidRPr="006E1109">
        <w:rPr>
          <w:rFonts w:ascii="Times New Roman" w:eastAsia="Calibri" w:hAnsi="Times New Roman" w:cs="Times New Roman"/>
          <w:sz w:val="24"/>
          <w:szCs w:val="24"/>
        </w:rPr>
        <w:tab/>
      </w:r>
    </w:p>
    <w:p w14:paraId="1968B3AB" w14:textId="77777777" w:rsidR="00DE1DB1" w:rsidRDefault="00993956"/>
    <w:sectPr w:rsidR="00DE1DB1" w:rsidSect="00CB3E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792A" w14:textId="77777777" w:rsidR="00993956" w:rsidRDefault="00993956" w:rsidP="00EE1C36">
      <w:pPr>
        <w:spacing w:after="0" w:line="240" w:lineRule="auto"/>
      </w:pPr>
      <w:r>
        <w:separator/>
      </w:r>
    </w:p>
  </w:endnote>
  <w:endnote w:type="continuationSeparator" w:id="0">
    <w:p w14:paraId="214473A4" w14:textId="77777777" w:rsidR="00993956" w:rsidRDefault="00993956" w:rsidP="00EE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446170"/>
      <w:docPartObj>
        <w:docPartGallery w:val="Page Numbers (Bottom of Page)"/>
        <w:docPartUnique/>
      </w:docPartObj>
    </w:sdtPr>
    <w:sdtEndPr/>
    <w:sdtContent>
      <w:p w14:paraId="375567C7" w14:textId="77777777" w:rsidR="00CC4EE4" w:rsidRDefault="00993956">
        <w:pPr>
          <w:pStyle w:val="Stopka"/>
          <w:jc w:val="right"/>
        </w:pPr>
        <w:r>
          <w:fldChar w:fldCharType="begin"/>
        </w:r>
        <w:r>
          <w:instrText xml:space="preserve"> PAGE   \* MERGEFORMAT </w:instrText>
        </w:r>
        <w:r>
          <w:fldChar w:fldCharType="separate"/>
        </w:r>
        <w:r w:rsidR="00CC4EE4">
          <w:rPr>
            <w:noProof/>
          </w:rPr>
          <w:t>1</w:t>
        </w:r>
        <w:r>
          <w:rPr>
            <w:noProof/>
          </w:rPr>
          <w:fldChar w:fldCharType="end"/>
        </w:r>
      </w:p>
    </w:sdtContent>
  </w:sdt>
  <w:p w14:paraId="627B006D" w14:textId="77777777" w:rsidR="00CC4EE4" w:rsidRDefault="00CC4E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605C" w14:textId="77777777" w:rsidR="00993956" w:rsidRDefault="00993956" w:rsidP="00EE1C36">
      <w:pPr>
        <w:spacing w:after="0" w:line="240" w:lineRule="auto"/>
      </w:pPr>
      <w:r>
        <w:separator/>
      </w:r>
    </w:p>
  </w:footnote>
  <w:footnote w:type="continuationSeparator" w:id="0">
    <w:p w14:paraId="45DDAE27" w14:textId="77777777" w:rsidR="00993956" w:rsidRDefault="00993956" w:rsidP="00EE1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900"/>
    <w:multiLevelType w:val="hybridMultilevel"/>
    <w:tmpl w:val="CF7E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537633"/>
    <w:multiLevelType w:val="hybridMultilevel"/>
    <w:tmpl w:val="831C4F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E938C3"/>
    <w:multiLevelType w:val="hybridMultilevel"/>
    <w:tmpl w:val="831C4F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E6944B2"/>
    <w:multiLevelType w:val="multilevel"/>
    <w:tmpl w:val="6332D56A"/>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1C36"/>
    <w:rsid w:val="00042438"/>
    <w:rsid w:val="000757A3"/>
    <w:rsid w:val="001569D6"/>
    <w:rsid w:val="001D023F"/>
    <w:rsid w:val="0025393A"/>
    <w:rsid w:val="00282164"/>
    <w:rsid w:val="00293433"/>
    <w:rsid w:val="00381ACD"/>
    <w:rsid w:val="003E04F0"/>
    <w:rsid w:val="00565892"/>
    <w:rsid w:val="006A13C8"/>
    <w:rsid w:val="006E1109"/>
    <w:rsid w:val="007540CB"/>
    <w:rsid w:val="00791735"/>
    <w:rsid w:val="00810D5F"/>
    <w:rsid w:val="008E428C"/>
    <w:rsid w:val="00993956"/>
    <w:rsid w:val="00AC3953"/>
    <w:rsid w:val="00AD5D1F"/>
    <w:rsid w:val="00B1048A"/>
    <w:rsid w:val="00BD1FB4"/>
    <w:rsid w:val="00C34DEB"/>
    <w:rsid w:val="00CB3E1E"/>
    <w:rsid w:val="00CC4EE4"/>
    <w:rsid w:val="00CF421B"/>
    <w:rsid w:val="00EE1C36"/>
    <w:rsid w:val="00F57FDF"/>
    <w:rsid w:val="00FB06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F6B9"/>
  <w15:docId w15:val="{DED4587F-8DD7-494D-8CA0-5D11D6EA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3E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E1C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E1C36"/>
    <w:rPr>
      <w:sz w:val="20"/>
      <w:szCs w:val="20"/>
    </w:rPr>
  </w:style>
  <w:style w:type="character" w:styleId="Odwoanieprzypisudolnego">
    <w:name w:val="footnote reference"/>
    <w:basedOn w:val="Domylnaczcionkaakapitu"/>
    <w:rsid w:val="00EE1C36"/>
    <w:rPr>
      <w:vertAlign w:val="superscript"/>
    </w:rPr>
  </w:style>
  <w:style w:type="paragraph" w:styleId="Akapitzlist">
    <w:name w:val="List Paragraph"/>
    <w:basedOn w:val="Normalny"/>
    <w:uiPriority w:val="34"/>
    <w:qFormat/>
    <w:rsid w:val="00282164"/>
    <w:pPr>
      <w:ind w:left="720"/>
      <w:contextualSpacing/>
    </w:pPr>
  </w:style>
  <w:style w:type="paragraph" w:styleId="Nagwek">
    <w:name w:val="header"/>
    <w:basedOn w:val="Normalny"/>
    <w:link w:val="NagwekZnak"/>
    <w:uiPriority w:val="99"/>
    <w:semiHidden/>
    <w:unhideWhenUsed/>
    <w:rsid w:val="00CC4EE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C4EE4"/>
  </w:style>
  <w:style w:type="paragraph" w:styleId="Stopka">
    <w:name w:val="footer"/>
    <w:basedOn w:val="Normalny"/>
    <w:link w:val="StopkaZnak"/>
    <w:uiPriority w:val="99"/>
    <w:unhideWhenUsed/>
    <w:rsid w:val="00CC4E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E88B7-2F79-48A4-8E2D-7B0DB158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1948</Words>
  <Characters>11692</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AGH_PPH</dc:creator>
  <cp:lastModifiedBy>Piotr Horosz</cp:lastModifiedBy>
  <cp:revision>10</cp:revision>
  <dcterms:created xsi:type="dcterms:W3CDTF">2020-10-11T21:25:00Z</dcterms:created>
  <dcterms:modified xsi:type="dcterms:W3CDTF">2021-10-18T06:22:00Z</dcterms:modified>
</cp:coreProperties>
</file>