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07" w:rsidRDefault="00B44FCC" w:rsidP="00726007">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5E00EC" w:rsidRPr="00692C6D" w:rsidRDefault="005E00EC" w:rsidP="00726007">
      <w:pPr>
        <w:spacing w:after="0" w:line="360" w:lineRule="auto"/>
        <w:jc w:val="center"/>
        <w:rPr>
          <w:rFonts w:ascii="Times New Roman" w:eastAsia="Calibri" w:hAnsi="Times New Roman" w:cs="Times New Roman"/>
          <w:b/>
          <w:sz w:val="24"/>
          <w:szCs w:val="24"/>
        </w:rPr>
      </w:pPr>
      <w:r w:rsidRPr="00692C6D">
        <w:rPr>
          <w:rFonts w:ascii="Times New Roman" w:eastAsia="Calibri" w:hAnsi="Times New Roman" w:cs="Times New Roman"/>
          <w:b/>
          <w:sz w:val="24"/>
          <w:szCs w:val="24"/>
        </w:rPr>
        <w:t>OD NIEWOLI ZA DŁUGI DO RESTRUKTURYZACJI I ODDŁUŻENIA – POJĘCIE, GENEZA I EWOLUCJA PRAWA UPADŁOŚCIOWEGO</w:t>
      </w:r>
    </w:p>
    <w:p w:rsidR="005E00EC" w:rsidRDefault="005E00EC" w:rsidP="00136798">
      <w:pPr>
        <w:spacing w:after="0" w:line="360" w:lineRule="auto"/>
        <w:jc w:val="center"/>
        <w:rPr>
          <w:rFonts w:ascii="Times New Roman" w:eastAsia="Calibri" w:hAnsi="Times New Roman" w:cs="Times New Roman"/>
          <w:sz w:val="24"/>
          <w:szCs w:val="24"/>
        </w:rPr>
      </w:pPr>
    </w:p>
    <w:p w:rsidR="00F44D5B" w:rsidRDefault="00F44D5B" w:rsidP="00136798">
      <w:pPr>
        <w:spacing w:after="0" w:line="360" w:lineRule="auto"/>
        <w:jc w:val="center"/>
        <w:rPr>
          <w:rFonts w:ascii="Times New Roman" w:eastAsia="Calibri" w:hAnsi="Times New Roman" w:cs="Times New Roman"/>
          <w:sz w:val="24"/>
          <w:szCs w:val="24"/>
        </w:rPr>
      </w:pPr>
    </w:p>
    <w:p w:rsidR="00F44D5B" w:rsidRPr="00726007" w:rsidRDefault="00F44D5B" w:rsidP="00F44D5B">
      <w:pPr>
        <w:pStyle w:val="Akapitzlist"/>
        <w:numPr>
          <w:ilvl w:val="0"/>
          <w:numId w:val="3"/>
        </w:numPr>
        <w:spacing w:after="0" w:line="360" w:lineRule="auto"/>
        <w:rPr>
          <w:rFonts w:ascii="Times New Roman" w:eastAsia="Calibri" w:hAnsi="Times New Roman" w:cs="Times New Roman"/>
          <w:b/>
          <w:sz w:val="24"/>
          <w:szCs w:val="24"/>
        </w:rPr>
      </w:pPr>
      <w:r w:rsidRPr="00726007">
        <w:rPr>
          <w:rFonts w:ascii="Times New Roman" w:eastAsia="Calibri" w:hAnsi="Times New Roman" w:cs="Times New Roman"/>
          <w:b/>
          <w:sz w:val="24"/>
          <w:szCs w:val="24"/>
        </w:rPr>
        <w:t>Pojęcie prawa upadłościowego i postępowania upadłościowego</w:t>
      </w:r>
    </w:p>
    <w:p w:rsidR="005E00EC" w:rsidRPr="00692C6D" w:rsidRDefault="005E00EC" w:rsidP="00136798">
      <w:pPr>
        <w:spacing w:after="0" w:line="360" w:lineRule="auto"/>
        <w:jc w:val="both"/>
        <w:rPr>
          <w:rFonts w:ascii="Times New Roman" w:eastAsia="Calibri" w:hAnsi="Times New Roman" w:cs="Times New Roman"/>
          <w:sz w:val="24"/>
          <w:szCs w:val="24"/>
        </w:rPr>
      </w:pPr>
    </w:p>
    <w:p w:rsidR="00136798" w:rsidRDefault="00692C6D" w:rsidP="00136798">
      <w:pPr>
        <w:spacing w:after="0" w:line="360" w:lineRule="auto"/>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ab/>
      </w:r>
      <w:r>
        <w:rPr>
          <w:rFonts w:ascii="Times New Roman" w:eastAsia="Calibri" w:hAnsi="Times New Roman" w:cs="Times New Roman"/>
          <w:sz w:val="24"/>
          <w:szCs w:val="24"/>
        </w:rPr>
        <w:t xml:space="preserve">Podobnie, jak w przypadku innych ogólnych pojęć z </w:t>
      </w:r>
      <w:r w:rsidR="00714CD1">
        <w:rPr>
          <w:rFonts w:ascii="Times New Roman" w:eastAsia="Calibri" w:hAnsi="Times New Roman" w:cs="Times New Roman"/>
          <w:sz w:val="24"/>
          <w:szCs w:val="24"/>
        </w:rPr>
        <w:t>zakresu prawa, również pojęcie p</w:t>
      </w:r>
      <w:r>
        <w:rPr>
          <w:rFonts w:ascii="Times New Roman" w:eastAsia="Calibri" w:hAnsi="Times New Roman" w:cs="Times New Roman"/>
          <w:sz w:val="24"/>
          <w:szCs w:val="24"/>
        </w:rPr>
        <w:t>rawa upadłościowego</w:t>
      </w:r>
      <w:r w:rsidR="00B44FCC">
        <w:rPr>
          <w:rFonts w:ascii="Times New Roman" w:eastAsia="Calibri" w:hAnsi="Times New Roman" w:cs="Times New Roman"/>
          <w:sz w:val="24"/>
          <w:szCs w:val="24"/>
        </w:rPr>
        <w:t xml:space="preserve"> </w:t>
      </w:r>
      <w:r w:rsidR="00714CD1">
        <w:rPr>
          <w:rFonts w:ascii="Times New Roman" w:eastAsia="Calibri" w:hAnsi="Times New Roman" w:cs="Times New Roman"/>
          <w:sz w:val="24"/>
          <w:szCs w:val="24"/>
        </w:rPr>
        <w:t>– którego podstawowym źródłem</w:t>
      </w:r>
      <w:r w:rsidR="00C03D28">
        <w:rPr>
          <w:rFonts w:ascii="Times New Roman" w:eastAsia="Calibri" w:hAnsi="Times New Roman" w:cs="Times New Roman"/>
          <w:sz w:val="24"/>
          <w:szCs w:val="24"/>
        </w:rPr>
        <w:t xml:space="preserve"> w prawie polskim</w:t>
      </w:r>
      <w:r w:rsidR="00714CD1">
        <w:rPr>
          <w:rFonts w:ascii="Times New Roman" w:eastAsia="Calibri" w:hAnsi="Times New Roman" w:cs="Times New Roman"/>
          <w:sz w:val="24"/>
          <w:szCs w:val="24"/>
        </w:rPr>
        <w:t xml:space="preserve"> jest obecnie</w:t>
      </w:r>
      <w:r w:rsidR="00F44D5B">
        <w:rPr>
          <w:rFonts w:ascii="Times New Roman" w:eastAsia="Calibri" w:hAnsi="Times New Roman" w:cs="Times New Roman"/>
          <w:sz w:val="24"/>
          <w:szCs w:val="24"/>
        </w:rPr>
        <w:t>, poddana wielokrotnym nowelizacjom (włącznie ze zmianą nazwy)</w:t>
      </w:r>
      <w:r w:rsidR="00714CD1">
        <w:rPr>
          <w:rFonts w:ascii="Times New Roman" w:eastAsia="Calibri" w:hAnsi="Times New Roman" w:cs="Times New Roman"/>
          <w:sz w:val="24"/>
          <w:szCs w:val="24"/>
        </w:rPr>
        <w:t xml:space="preserve"> ustawa z dnia 28 lutego 2003 r. Prawo upadłościowe (t. j. Dz. U. </w:t>
      </w:r>
      <w:r w:rsidR="00B44FCC" w:rsidRPr="00B44FCC">
        <w:rPr>
          <w:rFonts w:ascii="Times New Roman" w:eastAsia="Calibri" w:hAnsi="Times New Roman" w:cs="Times New Roman"/>
          <w:sz w:val="24"/>
          <w:szCs w:val="24"/>
        </w:rPr>
        <w:t>z 2020 r. poz. 1228</w:t>
      </w:r>
      <w:r w:rsidR="00714CD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nie zostało zdefiniowane przez ustawodawcę, który pozostawił to zadanie na barkach doktryny. </w:t>
      </w:r>
      <w:r w:rsidR="00136798">
        <w:rPr>
          <w:rFonts w:ascii="Times New Roman" w:eastAsia="Calibri" w:hAnsi="Times New Roman" w:cs="Times New Roman"/>
          <w:sz w:val="24"/>
          <w:szCs w:val="24"/>
        </w:rPr>
        <w:t>W literaturze przedmiotu nie ma równ</w:t>
      </w:r>
      <w:r w:rsidR="00714CD1">
        <w:rPr>
          <w:rFonts w:ascii="Times New Roman" w:eastAsia="Calibri" w:hAnsi="Times New Roman" w:cs="Times New Roman"/>
          <w:sz w:val="24"/>
          <w:szCs w:val="24"/>
        </w:rPr>
        <w:t>ież jednej ustalonej definicji p</w:t>
      </w:r>
      <w:r w:rsidR="00136798">
        <w:rPr>
          <w:rFonts w:ascii="Times New Roman" w:eastAsia="Calibri" w:hAnsi="Times New Roman" w:cs="Times New Roman"/>
          <w:sz w:val="24"/>
          <w:szCs w:val="24"/>
        </w:rPr>
        <w:t>rawa upadłościowego, choć funkcjonujące definicje są z reguły dość zbliżone, wskazując przede wszystkim na kwestię wspólnego zaspokojenia wierzycieli z majątku niewypłacalnego dłużnika, jako podstawowy cel prawa upadłościowego.</w:t>
      </w:r>
    </w:p>
    <w:p w:rsidR="00692C6D" w:rsidRPr="00692C6D" w:rsidRDefault="00692C6D" w:rsidP="00136798">
      <w:pPr>
        <w:spacing w:after="0" w:line="360" w:lineRule="auto"/>
        <w:ind w:firstLine="708"/>
        <w:jc w:val="both"/>
        <w:rPr>
          <w:rFonts w:ascii="Times New Roman" w:eastAsia="Calibri" w:hAnsi="Times New Roman" w:cs="Times New Roman"/>
          <w:sz w:val="24"/>
          <w:szCs w:val="24"/>
        </w:rPr>
      </w:pPr>
      <w:r w:rsidRPr="00136798">
        <w:rPr>
          <w:rFonts w:ascii="Times New Roman" w:eastAsia="Calibri" w:hAnsi="Times New Roman" w:cs="Times New Roman"/>
          <w:b/>
          <w:sz w:val="24"/>
          <w:szCs w:val="24"/>
        </w:rPr>
        <w:t>Prawo upadłościowe w ogólnym ujęciu określić można</w:t>
      </w:r>
      <w:r w:rsidR="00136798">
        <w:rPr>
          <w:rFonts w:ascii="Times New Roman" w:eastAsia="Calibri" w:hAnsi="Times New Roman" w:cs="Times New Roman"/>
          <w:b/>
          <w:sz w:val="24"/>
          <w:szCs w:val="24"/>
        </w:rPr>
        <w:t xml:space="preserve"> </w:t>
      </w:r>
      <w:r w:rsidRPr="00136798">
        <w:rPr>
          <w:rFonts w:ascii="Times New Roman" w:eastAsia="Calibri" w:hAnsi="Times New Roman" w:cs="Times New Roman"/>
          <w:b/>
          <w:sz w:val="24"/>
          <w:szCs w:val="24"/>
        </w:rPr>
        <w:t>jako wyspecjalizowany dział prawa handlowego regulujący skutki niewypłacalności dłużnika, a w szczególności przebieg postępowania – określanego jako postępowanie upadłościowe - zmierzającego do zaspokojenia w jak największym stopniu ogółu wierzycieli niewypłacalnego dłużnika (określanego jako „upadły”) z jego całego majątku, w sposób uregulowany w przepisach tego prawa, a także – w określonych przypadkach – restrukturyzację zobowiązań dłużnika i jego oddłużenie</w:t>
      </w:r>
      <w:r>
        <w:rPr>
          <w:rFonts w:ascii="Times New Roman" w:eastAsia="Calibri" w:hAnsi="Times New Roman" w:cs="Times New Roman"/>
          <w:sz w:val="24"/>
          <w:szCs w:val="24"/>
        </w:rPr>
        <w:t>.</w:t>
      </w:r>
    </w:p>
    <w:p w:rsidR="00BF36C2" w:rsidRPr="00BF36C2" w:rsidRDefault="00C03D28" w:rsidP="00BF36C2">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Wśród przykładowych definicji tworzonych przez</w:t>
      </w:r>
      <w:r w:rsidR="00136798">
        <w:rPr>
          <w:rFonts w:ascii="Times New Roman" w:eastAsia="Calibri" w:hAnsi="Times New Roman" w:cs="Times New Roman"/>
          <w:sz w:val="24"/>
          <w:szCs w:val="24"/>
        </w:rPr>
        <w:t xml:space="preserve"> przedstawicieli doktryny </w:t>
      </w:r>
      <w:r>
        <w:rPr>
          <w:rFonts w:ascii="Times New Roman" w:eastAsia="Calibri" w:hAnsi="Times New Roman" w:cs="Times New Roman"/>
          <w:sz w:val="24"/>
          <w:szCs w:val="24"/>
        </w:rPr>
        <w:t xml:space="preserve">przywołać </w:t>
      </w:r>
      <w:r w:rsidR="00136798">
        <w:rPr>
          <w:rFonts w:ascii="Times New Roman" w:eastAsia="Calibri" w:hAnsi="Times New Roman" w:cs="Times New Roman"/>
          <w:sz w:val="24"/>
          <w:szCs w:val="24"/>
        </w:rPr>
        <w:t xml:space="preserve">można np. określenie użyte przez F. </w:t>
      </w:r>
      <w:proofErr w:type="spellStart"/>
      <w:r w:rsidR="00136798">
        <w:rPr>
          <w:rFonts w:ascii="Times New Roman" w:eastAsia="Calibri" w:hAnsi="Times New Roman" w:cs="Times New Roman"/>
          <w:sz w:val="24"/>
          <w:szCs w:val="24"/>
        </w:rPr>
        <w:t>Ze</w:t>
      </w:r>
      <w:r w:rsidR="00692C6D" w:rsidRPr="00692C6D">
        <w:rPr>
          <w:rFonts w:ascii="Times New Roman" w:eastAsia="Calibri" w:hAnsi="Times New Roman" w:cs="Times New Roman"/>
          <w:sz w:val="24"/>
          <w:szCs w:val="24"/>
        </w:rPr>
        <w:t>d</w:t>
      </w:r>
      <w:r w:rsidR="00136798">
        <w:rPr>
          <w:rFonts w:ascii="Times New Roman" w:eastAsia="Calibri" w:hAnsi="Times New Roman" w:cs="Times New Roman"/>
          <w:sz w:val="24"/>
          <w:szCs w:val="24"/>
        </w:rPr>
        <w:t>l</w:t>
      </w:r>
      <w:r w:rsidR="00692C6D" w:rsidRPr="00692C6D">
        <w:rPr>
          <w:rFonts w:ascii="Times New Roman" w:eastAsia="Calibri" w:hAnsi="Times New Roman" w:cs="Times New Roman"/>
          <w:sz w:val="24"/>
          <w:szCs w:val="24"/>
        </w:rPr>
        <w:t>era</w:t>
      </w:r>
      <w:proofErr w:type="spellEnd"/>
      <w:r w:rsidR="00136798">
        <w:rPr>
          <w:rFonts w:ascii="Times New Roman" w:eastAsia="Calibri" w:hAnsi="Times New Roman" w:cs="Times New Roman"/>
          <w:sz w:val="24"/>
          <w:szCs w:val="24"/>
        </w:rPr>
        <w:t>, wskazującego że</w:t>
      </w:r>
      <w:r w:rsidR="00692C6D" w:rsidRPr="00692C6D">
        <w:rPr>
          <w:rFonts w:ascii="Times New Roman" w:eastAsia="Calibri" w:hAnsi="Times New Roman" w:cs="Times New Roman"/>
          <w:sz w:val="24"/>
          <w:szCs w:val="24"/>
        </w:rPr>
        <w:t xml:space="preserve"> prawo upadłościowe reguluje skutki prawne niewypłacalności poprzez likwidację majątku dłużnika, który jest niewypłacalny, a następnie podział pozyskanych środków pomiędzy wierzycieli.</w:t>
      </w:r>
      <w:r w:rsidR="00136798">
        <w:rPr>
          <w:rFonts w:ascii="Times New Roman" w:eastAsia="Calibri" w:hAnsi="Times New Roman" w:cs="Times New Roman"/>
          <w:sz w:val="24"/>
          <w:szCs w:val="24"/>
        </w:rPr>
        <w:t xml:space="preserve"> </w:t>
      </w:r>
      <w:r w:rsidR="0098191D">
        <w:rPr>
          <w:rFonts w:ascii="Times New Roman" w:eastAsia="Calibri" w:hAnsi="Times New Roman" w:cs="Times New Roman"/>
          <w:sz w:val="24"/>
          <w:szCs w:val="24"/>
        </w:rPr>
        <w:t>Z kolei w</w:t>
      </w:r>
      <w:r w:rsidR="00692C6D" w:rsidRPr="00692C6D">
        <w:rPr>
          <w:rFonts w:ascii="Times New Roman" w:eastAsia="Calibri" w:hAnsi="Times New Roman" w:cs="Times New Roman"/>
          <w:sz w:val="24"/>
          <w:szCs w:val="24"/>
        </w:rPr>
        <w:t xml:space="preserve">edług </w:t>
      </w:r>
      <w:r w:rsidR="0098191D">
        <w:rPr>
          <w:rFonts w:ascii="Times New Roman" w:eastAsia="Calibri" w:hAnsi="Times New Roman" w:cs="Times New Roman"/>
          <w:sz w:val="24"/>
          <w:szCs w:val="24"/>
        </w:rPr>
        <w:t xml:space="preserve">definicji sformułowanej przez </w:t>
      </w:r>
      <w:r w:rsidR="00692C6D" w:rsidRPr="00692C6D">
        <w:rPr>
          <w:rFonts w:ascii="Times New Roman" w:eastAsia="Calibri" w:hAnsi="Times New Roman" w:cs="Times New Roman"/>
          <w:sz w:val="24"/>
          <w:szCs w:val="24"/>
        </w:rPr>
        <w:t xml:space="preserve">Roberta Lewandowskiego </w:t>
      </w:r>
      <w:r w:rsidR="0098191D">
        <w:rPr>
          <w:rFonts w:ascii="Times New Roman" w:eastAsia="Calibri" w:hAnsi="Times New Roman" w:cs="Times New Roman"/>
          <w:sz w:val="24"/>
          <w:szCs w:val="24"/>
        </w:rPr>
        <w:t>(oczywiście nie tego o którym Państwo zapewne</w:t>
      </w:r>
      <w:r w:rsidR="008B67DA">
        <w:rPr>
          <w:rFonts w:ascii="Times New Roman" w:eastAsia="Calibri" w:hAnsi="Times New Roman" w:cs="Times New Roman"/>
          <w:sz w:val="24"/>
          <w:szCs w:val="24"/>
        </w:rPr>
        <w:t xml:space="preserve"> w tej chwili myślą</w:t>
      </w:r>
      <w:r w:rsidR="0098191D">
        <w:rPr>
          <w:rFonts w:ascii="Times New Roman" w:eastAsia="Calibri" w:hAnsi="Times New Roman" w:cs="Times New Roman"/>
          <w:sz w:val="24"/>
          <w:szCs w:val="24"/>
        </w:rPr>
        <w:t>!! ;) oraz P.</w:t>
      </w:r>
      <w:r w:rsidR="00692C6D" w:rsidRPr="00692C6D">
        <w:rPr>
          <w:rFonts w:ascii="Times New Roman" w:eastAsia="Calibri" w:hAnsi="Times New Roman" w:cs="Times New Roman"/>
          <w:sz w:val="24"/>
          <w:szCs w:val="24"/>
        </w:rPr>
        <w:t xml:space="preserve"> Wołowskiego </w:t>
      </w:r>
      <w:r w:rsidR="0098191D">
        <w:rPr>
          <w:rFonts w:ascii="Times New Roman" w:eastAsia="Calibri" w:hAnsi="Times New Roman" w:cs="Times New Roman"/>
          <w:sz w:val="24"/>
          <w:szCs w:val="24"/>
        </w:rPr>
        <w:t>„</w:t>
      </w:r>
      <w:r w:rsidR="00692C6D" w:rsidRPr="0098191D">
        <w:rPr>
          <w:rFonts w:ascii="Times New Roman" w:eastAsia="Calibri" w:hAnsi="Times New Roman" w:cs="Times New Roman"/>
          <w:sz w:val="24"/>
          <w:szCs w:val="24"/>
        </w:rPr>
        <w:t xml:space="preserve">Prawo upadłościowe reguluje postępowanie w sytuacji, gdy podmiot prawa nie jest w stanie samodzielnie wykonać swoich zobowiązań pieniężnych lub jego majątek nie wystarcza na pokrycie jego zobowiązań. Jest to tak zwany stan niewypłacalności. W przypadku, gdy podmiot prawa stanie się niewypłacalny jego długi powinny być zaspokojone w drodze postępowania upadłościowego, które może być przeprowadzone poprzez likwidację majątku, albo poprzez przeprowadzenie  </w:t>
      </w:r>
      <w:r w:rsidR="00692C6D" w:rsidRPr="0098191D">
        <w:rPr>
          <w:rFonts w:ascii="Times New Roman" w:eastAsia="Calibri" w:hAnsi="Times New Roman" w:cs="Times New Roman"/>
          <w:sz w:val="24"/>
          <w:szCs w:val="24"/>
        </w:rPr>
        <w:lastRenderedPageBreak/>
        <w:t>restrukturyzacji tych zobowiązań na zasadach określonych w układzie. W związku z powyższym możemy stwierdzić iż prawo upadłościowe to prawo, które reguluje skutki niewypłacalności podmiotów prawa oraz zasady zaspokajania wierzycieli w toku przeprowadzonej likwidacji majątku dłużnika lub w drodze zawartego układu w postępowaniu upadłościowym</w:t>
      </w:r>
      <w:r w:rsidR="0098191D">
        <w:rPr>
          <w:rFonts w:ascii="Times New Roman" w:eastAsia="Calibri" w:hAnsi="Times New Roman" w:cs="Times New Roman"/>
          <w:sz w:val="24"/>
          <w:szCs w:val="24"/>
        </w:rPr>
        <w:t>.</w:t>
      </w:r>
      <w:r w:rsidR="00692C6D" w:rsidRPr="00692C6D">
        <w:rPr>
          <w:rFonts w:ascii="Times New Roman" w:eastAsia="Calibri" w:hAnsi="Times New Roman" w:cs="Times New Roman"/>
          <w:sz w:val="24"/>
          <w:szCs w:val="24"/>
        </w:rPr>
        <w:t>”</w:t>
      </w:r>
      <w:r w:rsidR="00726007">
        <w:rPr>
          <w:rFonts w:ascii="Times New Roman" w:eastAsia="Calibri" w:hAnsi="Times New Roman" w:cs="Times New Roman"/>
          <w:sz w:val="24"/>
          <w:szCs w:val="24"/>
        </w:rPr>
        <w:t xml:space="preserve"> Jak wskazują z kolei J. Hryniewiecki i S. Gurgul p</w:t>
      </w:r>
      <w:r w:rsidR="00726007" w:rsidRPr="00692C6D">
        <w:rPr>
          <w:rFonts w:ascii="Times New Roman" w:eastAsia="Calibri" w:hAnsi="Times New Roman" w:cs="Times New Roman"/>
          <w:sz w:val="24"/>
          <w:szCs w:val="24"/>
        </w:rPr>
        <w:t>ostępowanie upadłościowe może być postrzegane jako specjalny rodzaj przymusowego zaspokojenia wierzytelności, dopuszczalnego w razie niewypłacalności  dłużnika i skierowanego do całego jego majątku.</w:t>
      </w:r>
    </w:p>
    <w:p w:rsidR="00BF36C2" w:rsidRDefault="00BF36C2" w:rsidP="00BF36C2">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 przytoczonych przykładowych definicjach zwraca uwagę zwłaszcza podkreślenie</w:t>
      </w:r>
      <w:r w:rsidR="00714CD1">
        <w:rPr>
          <w:rFonts w:ascii="Times New Roman" w:eastAsia="Calibri" w:hAnsi="Times New Roman" w:cs="Times New Roman"/>
          <w:sz w:val="24"/>
          <w:szCs w:val="24"/>
        </w:rPr>
        <w:t xml:space="preserve"> faktu, że p</w:t>
      </w:r>
      <w:r>
        <w:rPr>
          <w:rFonts w:ascii="Times New Roman" w:eastAsia="Calibri" w:hAnsi="Times New Roman" w:cs="Times New Roman"/>
          <w:sz w:val="24"/>
          <w:szCs w:val="24"/>
        </w:rPr>
        <w:t xml:space="preserve">rawo upadłościowe zawiera przede wszystkim przepisy regulujące określone postępowanie – tzw. postępowanie upadłościowe (określane niekiedy skrótowo, aczkolwiek nie do końca precyzyjnie po prostu jako „upadłość”) – czyli pewną </w:t>
      </w:r>
      <w:r w:rsidRPr="00BF36C2">
        <w:rPr>
          <w:rFonts w:ascii="Times New Roman" w:eastAsia="Calibri" w:hAnsi="Times New Roman" w:cs="Times New Roman"/>
          <w:b/>
          <w:sz w:val="24"/>
          <w:szCs w:val="24"/>
        </w:rPr>
        <w:t>procedurę</w:t>
      </w:r>
      <w:r>
        <w:rPr>
          <w:rFonts w:ascii="Times New Roman" w:eastAsia="Calibri" w:hAnsi="Times New Roman" w:cs="Times New Roman"/>
          <w:sz w:val="24"/>
          <w:szCs w:val="24"/>
        </w:rPr>
        <w:t xml:space="preserve"> – ciąg czynności prowadzonych przed </w:t>
      </w:r>
      <w:r w:rsidR="00F656A8">
        <w:rPr>
          <w:rFonts w:ascii="Times New Roman" w:eastAsia="Calibri" w:hAnsi="Times New Roman" w:cs="Times New Roman"/>
          <w:sz w:val="24"/>
          <w:szCs w:val="24"/>
        </w:rPr>
        <w:t xml:space="preserve">określonymi prawem </w:t>
      </w:r>
      <w:r>
        <w:rPr>
          <w:rFonts w:ascii="Times New Roman" w:eastAsia="Calibri" w:hAnsi="Times New Roman" w:cs="Times New Roman"/>
          <w:sz w:val="24"/>
          <w:szCs w:val="24"/>
        </w:rPr>
        <w:t xml:space="preserve">organami </w:t>
      </w:r>
      <w:r w:rsidR="00F656A8">
        <w:rPr>
          <w:rFonts w:ascii="Times New Roman" w:eastAsia="Calibri" w:hAnsi="Times New Roman" w:cs="Times New Roman"/>
          <w:sz w:val="24"/>
          <w:szCs w:val="24"/>
        </w:rPr>
        <w:t xml:space="preserve">(m. in. administracyjnymi, </w:t>
      </w:r>
      <w:r>
        <w:rPr>
          <w:rFonts w:ascii="Times New Roman" w:eastAsia="Calibri" w:hAnsi="Times New Roman" w:cs="Times New Roman"/>
          <w:sz w:val="24"/>
          <w:szCs w:val="24"/>
        </w:rPr>
        <w:t>wymiaru sprawiedliwości</w:t>
      </w:r>
      <w:r w:rsidR="00F656A8">
        <w:rPr>
          <w:rFonts w:ascii="Times New Roman" w:eastAsia="Calibri" w:hAnsi="Times New Roman" w:cs="Times New Roman"/>
          <w:sz w:val="24"/>
          <w:szCs w:val="24"/>
        </w:rPr>
        <w:t>)</w:t>
      </w:r>
      <w:r>
        <w:rPr>
          <w:rFonts w:ascii="Times New Roman" w:eastAsia="Calibri" w:hAnsi="Times New Roman" w:cs="Times New Roman"/>
          <w:sz w:val="24"/>
          <w:szCs w:val="24"/>
        </w:rPr>
        <w:t xml:space="preserve"> zmierzających do urzeczywistnienia norm prawa materialnego. Owa określona prawem procedura – czyli właśnie postępowanie upadłościowe - </w:t>
      </w:r>
      <w:r w:rsidR="00692C6D" w:rsidRPr="00692C6D">
        <w:rPr>
          <w:rFonts w:ascii="Times New Roman" w:eastAsia="Calibri" w:hAnsi="Times New Roman" w:cs="Times New Roman"/>
          <w:sz w:val="24"/>
          <w:szCs w:val="24"/>
        </w:rPr>
        <w:t>wszczynana jest w razie</w:t>
      </w:r>
      <w:r>
        <w:rPr>
          <w:rFonts w:ascii="Times New Roman" w:eastAsia="Calibri" w:hAnsi="Times New Roman" w:cs="Times New Roman"/>
          <w:sz w:val="24"/>
          <w:szCs w:val="24"/>
        </w:rPr>
        <w:t xml:space="preserve"> zaistnienia wskazanych w </w:t>
      </w:r>
      <w:r w:rsidR="00714CD1">
        <w:rPr>
          <w:rFonts w:ascii="Times New Roman" w:eastAsia="Calibri" w:hAnsi="Times New Roman" w:cs="Times New Roman"/>
          <w:sz w:val="24"/>
          <w:szCs w:val="24"/>
        </w:rPr>
        <w:t>ustawie Prawo upadłościowe</w:t>
      </w:r>
      <w:r>
        <w:rPr>
          <w:rFonts w:ascii="Times New Roman" w:eastAsia="Calibri" w:hAnsi="Times New Roman" w:cs="Times New Roman"/>
          <w:sz w:val="24"/>
          <w:szCs w:val="24"/>
        </w:rPr>
        <w:t xml:space="preserve"> przesłanek – a mianowicie w przypadku</w:t>
      </w:r>
      <w:r w:rsidR="00692C6D" w:rsidRPr="00692C6D">
        <w:rPr>
          <w:rFonts w:ascii="Times New Roman" w:eastAsia="Calibri" w:hAnsi="Times New Roman" w:cs="Times New Roman"/>
          <w:sz w:val="24"/>
          <w:szCs w:val="24"/>
        </w:rPr>
        <w:t xml:space="preserve"> niewypłacalności </w:t>
      </w:r>
      <w:r w:rsidR="00C03D28">
        <w:rPr>
          <w:rFonts w:ascii="Times New Roman" w:eastAsia="Calibri" w:hAnsi="Times New Roman" w:cs="Times New Roman"/>
          <w:sz w:val="24"/>
          <w:szCs w:val="24"/>
        </w:rPr>
        <w:t xml:space="preserve">określonego </w:t>
      </w:r>
      <w:r w:rsidR="00692C6D" w:rsidRPr="00692C6D">
        <w:rPr>
          <w:rFonts w:ascii="Times New Roman" w:eastAsia="Calibri" w:hAnsi="Times New Roman" w:cs="Times New Roman"/>
          <w:sz w:val="24"/>
          <w:szCs w:val="24"/>
        </w:rPr>
        <w:t>podmiotu – dłużnika</w:t>
      </w:r>
      <w:r>
        <w:rPr>
          <w:rFonts w:ascii="Times New Roman" w:eastAsia="Calibri" w:hAnsi="Times New Roman" w:cs="Times New Roman"/>
          <w:sz w:val="24"/>
          <w:szCs w:val="24"/>
        </w:rPr>
        <w:t xml:space="preserve"> i polega</w:t>
      </w:r>
      <w:r w:rsidR="00692C6D" w:rsidRPr="00692C6D">
        <w:rPr>
          <w:rFonts w:ascii="Times New Roman" w:eastAsia="Calibri" w:hAnsi="Times New Roman" w:cs="Times New Roman"/>
          <w:sz w:val="24"/>
          <w:szCs w:val="24"/>
        </w:rPr>
        <w:t xml:space="preserve"> na wspólnym dochodzeniu roszczeń </w:t>
      </w:r>
      <w:r>
        <w:rPr>
          <w:rFonts w:ascii="Times New Roman" w:eastAsia="Calibri" w:hAnsi="Times New Roman" w:cs="Times New Roman"/>
          <w:sz w:val="24"/>
          <w:szCs w:val="24"/>
        </w:rPr>
        <w:t xml:space="preserve">przez </w:t>
      </w:r>
      <w:r w:rsidR="00692C6D" w:rsidRPr="00692C6D">
        <w:rPr>
          <w:rFonts w:ascii="Times New Roman" w:eastAsia="Calibri" w:hAnsi="Times New Roman" w:cs="Times New Roman"/>
          <w:sz w:val="24"/>
          <w:szCs w:val="24"/>
        </w:rPr>
        <w:t xml:space="preserve">jego wierzycieli. </w:t>
      </w:r>
    </w:p>
    <w:p w:rsidR="00714CD1" w:rsidRDefault="008B67DA" w:rsidP="00714CD1">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Postępowanie upadłościowe zatem, w ogólnym zarysie, może być  postrzegane j</w:t>
      </w:r>
      <w:r w:rsidRPr="00692C6D">
        <w:rPr>
          <w:rFonts w:ascii="Times New Roman" w:eastAsia="Calibri" w:hAnsi="Times New Roman" w:cs="Times New Roman"/>
          <w:sz w:val="24"/>
          <w:szCs w:val="24"/>
        </w:rPr>
        <w:t>ako specjalny rodzaj sądowego postępowania cywilnego</w:t>
      </w:r>
      <w:r>
        <w:rPr>
          <w:rFonts w:ascii="Times New Roman" w:eastAsia="Calibri" w:hAnsi="Times New Roman" w:cs="Times New Roman"/>
          <w:sz w:val="24"/>
          <w:szCs w:val="24"/>
        </w:rPr>
        <w:t>, który, tak jak</w:t>
      </w:r>
      <w:r w:rsidRPr="00692C6D">
        <w:rPr>
          <w:rFonts w:ascii="Times New Roman" w:eastAsia="Calibri" w:hAnsi="Times New Roman" w:cs="Times New Roman"/>
          <w:sz w:val="24"/>
          <w:szCs w:val="24"/>
        </w:rPr>
        <w:t xml:space="preserve"> postępowanie egzekucyjne, służy przede wszystkim urzeczywistnieniu norm prawa materialnego w dziedzinie stosunków zobowiązaniowych</w:t>
      </w:r>
      <w:r>
        <w:rPr>
          <w:rFonts w:ascii="Times New Roman" w:eastAsia="Calibri" w:hAnsi="Times New Roman" w:cs="Times New Roman"/>
          <w:sz w:val="24"/>
          <w:szCs w:val="24"/>
        </w:rPr>
        <w:t xml:space="preserve"> – z czym wiąże się wskazany niżej tradycyjny model zakładający postrzeganie postępowania upadłościowe</w:t>
      </w:r>
      <w:r w:rsidR="004916E3">
        <w:rPr>
          <w:rFonts w:ascii="Times New Roman" w:eastAsia="Calibri" w:hAnsi="Times New Roman" w:cs="Times New Roman"/>
          <w:sz w:val="24"/>
          <w:szCs w:val="24"/>
        </w:rPr>
        <w:t xml:space="preserve">go jako egzekucji generalnej.  Należy jednak zwrócić uwagę, że samo Prawo upadłościowe – w przeciwieństwie np. do kodeksu postępowania cywilnego, kodeksu postępowania karnego czy też kodeksu postępowania administracyjnego, nie może być postrzegane jako typowy akt prawny o charakterze proceduralnym. W ramach postępowania upadłościowego realizowane są bowiem nie tyle przepisy konkretnego aktu prawnego, lecz ogólnie - </w:t>
      </w:r>
      <w:r w:rsidR="004916E3" w:rsidRPr="004916E3">
        <w:rPr>
          <w:rFonts w:ascii="Times New Roman" w:eastAsia="Calibri" w:hAnsi="Times New Roman" w:cs="Times New Roman"/>
          <w:b/>
          <w:sz w:val="24"/>
          <w:szCs w:val="24"/>
        </w:rPr>
        <w:t xml:space="preserve">zobowiązania </w:t>
      </w:r>
      <w:r w:rsidR="004916E3">
        <w:rPr>
          <w:rFonts w:ascii="Times New Roman" w:eastAsia="Calibri" w:hAnsi="Times New Roman" w:cs="Times New Roman"/>
          <w:sz w:val="24"/>
          <w:szCs w:val="24"/>
        </w:rPr>
        <w:t xml:space="preserve">dłużnika wobec jego wierzycieli – niezależnie od tego, z jakich stosunków prawnych zobowiązania te wynikają – </w:t>
      </w:r>
      <w:r w:rsidR="004060F3">
        <w:rPr>
          <w:rFonts w:ascii="Times New Roman" w:eastAsia="Calibri" w:hAnsi="Times New Roman" w:cs="Times New Roman"/>
          <w:sz w:val="24"/>
          <w:szCs w:val="24"/>
        </w:rPr>
        <w:t>mogą to być zarówno stosunki cywilnoprawne, jak i administracyjnoprawne a nawet karnoprawne (np. grzywny sądowe).  W</w:t>
      </w:r>
      <w:r w:rsidR="004060F3" w:rsidRPr="00692C6D">
        <w:rPr>
          <w:rFonts w:ascii="Times New Roman" w:eastAsia="Calibri" w:hAnsi="Times New Roman" w:cs="Times New Roman"/>
          <w:sz w:val="24"/>
          <w:szCs w:val="24"/>
        </w:rPr>
        <w:t xml:space="preserve"> postępowaniu upadłościowym są </w:t>
      </w:r>
      <w:r w:rsidR="004060F3">
        <w:rPr>
          <w:rFonts w:ascii="Times New Roman" w:eastAsia="Calibri" w:hAnsi="Times New Roman" w:cs="Times New Roman"/>
          <w:sz w:val="24"/>
          <w:szCs w:val="24"/>
        </w:rPr>
        <w:t>zatem zaspokajane zarówno wierzytelności o charakterze prywatnoprawnym, jak i publicznoprawnym, jak np. podatki lub</w:t>
      </w:r>
      <w:r w:rsidR="004060F3" w:rsidRPr="00692C6D">
        <w:rPr>
          <w:rFonts w:ascii="Times New Roman" w:eastAsia="Calibri" w:hAnsi="Times New Roman" w:cs="Times New Roman"/>
          <w:sz w:val="24"/>
          <w:szCs w:val="24"/>
        </w:rPr>
        <w:t xml:space="preserve"> cła</w:t>
      </w:r>
      <w:r w:rsidR="004060F3">
        <w:rPr>
          <w:rFonts w:ascii="Times New Roman" w:eastAsia="Calibri" w:hAnsi="Times New Roman" w:cs="Times New Roman"/>
          <w:sz w:val="24"/>
          <w:szCs w:val="24"/>
        </w:rPr>
        <w:t xml:space="preserve">. Ponadto należy zwrócić uwagę na fakt, że ustawa </w:t>
      </w:r>
      <w:r w:rsidR="004060F3" w:rsidRPr="00692C6D">
        <w:rPr>
          <w:rFonts w:ascii="Times New Roman" w:eastAsia="Calibri" w:hAnsi="Times New Roman" w:cs="Times New Roman"/>
          <w:sz w:val="24"/>
          <w:szCs w:val="24"/>
        </w:rPr>
        <w:t xml:space="preserve">Prawo upadłościowe zawiera nie tylko normy procesowe, ale </w:t>
      </w:r>
      <w:r w:rsidR="004060F3">
        <w:rPr>
          <w:rFonts w:ascii="Times New Roman" w:eastAsia="Calibri" w:hAnsi="Times New Roman" w:cs="Times New Roman"/>
          <w:sz w:val="24"/>
          <w:szCs w:val="24"/>
        </w:rPr>
        <w:t xml:space="preserve">również normy </w:t>
      </w:r>
      <w:proofErr w:type="spellStart"/>
      <w:r w:rsidR="004060F3">
        <w:rPr>
          <w:rFonts w:ascii="Times New Roman" w:eastAsia="Calibri" w:hAnsi="Times New Roman" w:cs="Times New Roman"/>
          <w:sz w:val="24"/>
          <w:szCs w:val="24"/>
        </w:rPr>
        <w:lastRenderedPageBreak/>
        <w:t>materialnoprawne</w:t>
      </w:r>
      <w:proofErr w:type="spellEnd"/>
      <w:r w:rsidR="004060F3">
        <w:rPr>
          <w:rFonts w:ascii="Times New Roman" w:eastAsia="Calibri" w:hAnsi="Times New Roman" w:cs="Times New Roman"/>
          <w:sz w:val="24"/>
          <w:szCs w:val="24"/>
        </w:rPr>
        <w:t xml:space="preserve"> a nawet</w:t>
      </w:r>
      <w:r w:rsidR="004060F3" w:rsidRPr="00692C6D">
        <w:rPr>
          <w:rFonts w:ascii="Times New Roman" w:eastAsia="Calibri" w:hAnsi="Times New Roman" w:cs="Times New Roman"/>
          <w:sz w:val="24"/>
          <w:szCs w:val="24"/>
        </w:rPr>
        <w:t xml:space="preserve"> przepisy karne</w:t>
      </w:r>
      <w:r w:rsidR="004060F3">
        <w:rPr>
          <w:rFonts w:ascii="Times New Roman" w:eastAsia="Calibri" w:hAnsi="Times New Roman" w:cs="Times New Roman"/>
          <w:sz w:val="24"/>
          <w:szCs w:val="24"/>
        </w:rPr>
        <w:t xml:space="preserve"> - przy czym realizacji owych norm prawa materialnego służą z reguły zawarte w tej samej ustawie normy o charakterze proceduralnym.  </w:t>
      </w:r>
      <w:r w:rsidR="00714CD1">
        <w:rPr>
          <w:rFonts w:ascii="Times New Roman" w:eastAsia="Calibri" w:hAnsi="Times New Roman" w:cs="Times New Roman"/>
          <w:sz w:val="24"/>
          <w:szCs w:val="24"/>
        </w:rPr>
        <w:t>Ustawa ta</w:t>
      </w:r>
      <w:r w:rsidR="004060F3">
        <w:rPr>
          <w:rFonts w:ascii="Times New Roman" w:eastAsia="Calibri" w:hAnsi="Times New Roman" w:cs="Times New Roman"/>
          <w:sz w:val="24"/>
          <w:szCs w:val="24"/>
        </w:rPr>
        <w:t xml:space="preserve"> </w:t>
      </w:r>
      <w:r w:rsidR="00C03D28">
        <w:rPr>
          <w:rFonts w:ascii="Times New Roman" w:eastAsia="Calibri" w:hAnsi="Times New Roman" w:cs="Times New Roman"/>
          <w:sz w:val="24"/>
          <w:szCs w:val="24"/>
        </w:rPr>
        <w:t xml:space="preserve">zatem </w:t>
      </w:r>
      <w:r w:rsidR="004060F3">
        <w:rPr>
          <w:rFonts w:ascii="Times New Roman" w:eastAsia="Calibri" w:hAnsi="Times New Roman" w:cs="Times New Roman"/>
          <w:sz w:val="24"/>
          <w:szCs w:val="24"/>
        </w:rPr>
        <w:t>–</w:t>
      </w:r>
      <w:r w:rsidR="00714CD1">
        <w:rPr>
          <w:rFonts w:ascii="Times New Roman" w:eastAsia="Calibri" w:hAnsi="Times New Roman" w:cs="Times New Roman"/>
          <w:sz w:val="24"/>
          <w:szCs w:val="24"/>
        </w:rPr>
        <w:t xml:space="preserve"> mimo oczywistej przewagi</w:t>
      </w:r>
      <w:r w:rsidR="004060F3">
        <w:rPr>
          <w:rFonts w:ascii="Times New Roman" w:eastAsia="Calibri" w:hAnsi="Times New Roman" w:cs="Times New Roman"/>
          <w:sz w:val="24"/>
          <w:szCs w:val="24"/>
        </w:rPr>
        <w:t xml:space="preserve"> norm o charakterze pro</w:t>
      </w:r>
      <w:r w:rsidR="008C3EF6">
        <w:rPr>
          <w:rFonts w:ascii="Times New Roman" w:eastAsia="Calibri" w:hAnsi="Times New Roman" w:cs="Times New Roman"/>
          <w:sz w:val="24"/>
          <w:szCs w:val="24"/>
        </w:rPr>
        <w:t>c</w:t>
      </w:r>
      <w:r w:rsidR="004060F3">
        <w:rPr>
          <w:rFonts w:ascii="Times New Roman" w:eastAsia="Calibri" w:hAnsi="Times New Roman" w:cs="Times New Roman"/>
          <w:sz w:val="24"/>
          <w:szCs w:val="24"/>
        </w:rPr>
        <w:t>esowym</w:t>
      </w:r>
      <w:r w:rsidR="008C3EF6">
        <w:rPr>
          <w:rFonts w:ascii="Times New Roman" w:eastAsia="Calibri" w:hAnsi="Times New Roman" w:cs="Times New Roman"/>
          <w:sz w:val="24"/>
          <w:szCs w:val="24"/>
        </w:rPr>
        <w:t xml:space="preserve"> </w:t>
      </w:r>
      <w:r w:rsidR="00C03D28">
        <w:rPr>
          <w:rFonts w:ascii="Times New Roman" w:eastAsia="Calibri" w:hAnsi="Times New Roman" w:cs="Times New Roman"/>
          <w:sz w:val="24"/>
          <w:szCs w:val="24"/>
        </w:rPr>
        <w:t xml:space="preserve">- </w:t>
      </w:r>
      <w:r w:rsidR="008C3EF6">
        <w:rPr>
          <w:rFonts w:ascii="Times New Roman" w:eastAsia="Calibri" w:hAnsi="Times New Roman" w:cs="Times New Roman"/>
          <w:sz w:val="24"/>
          <w:szCs w:val="24"/>
        </w:rPr>
        <w:t xml:space="preserve">nie wpisuje się w pełni w klasyczny dla współczesnego prawa schemat (co brzmi lepiej niż po prostu „ciąg” – aczkolwiek mniej obrazowo) </w:t>
      </w:r>
      <w:r w:rsidR="008C3EF6">
        <w:rPr>
          <w:rFonts w:ascii="Times New Roman" w:eastAsia="Calibri" w:hAnsi="Times New Roman" w:cs="Times New Roman"/>
          <w:i/>
          <w:sz w:val="24"/>
          <w:szCs w:val="24"/>
        </w:rPr>
        <w:t>prawo materialne – przepisy proceduralne (postępowanie) – przepisy wykonawcze</w:t>
      </w:r>
      <w:r w:rsidR="008C3EF6">
        <w:rPr>
          <w:rFonts w:ascii="Times New Roman" w:eastAsia="Calibri" w:hAnsi="Times New Roman" w:cs="Times New Roman"/>
          <w:sz w:val="24"/>
          <w:szCs w:val="24"/>
        </w:rPr>
        <w:t xml:space="preserve"> (jak np. ciąg: Kodeks karny –</w:t>
      </w:r>
      <w:r w:rsidR="00C03D28">
        <w:rPr>
          <w:rFonts w:ascii="Times New Roman" w:eastAsia="Calibri" w:hAnsi="Times New Roman" w:cs="Times New Roman"/>
          <w:sz w:val="24"/>
          <w:szCs w:val="24"/>
        </w:rPr>
        <w:t xml:space="preserve"> </w:t>
      </w:r>
      <w:r w:rsidR="008C3EF6">
        <w:rPr>
          <w:rFonts w:ascii="Times New Roman" w:eastAsia="Calibri" w:hAnsi="Times New Roman" w:cs="Times New Roman"/>
          <w:sz w:val="24"/>
          <w:szCs w:val="24"/>
        </w:rPr>
        <w:t>Kodeks postępowania karnego – Kodeks karny wykonawczy albo też: Prawo administracyjne (materialne) – Kodeks postępowania administracyjnego – Ustawa o postępowaniu egzekucyjnym w administracji).</w:t>
      </w:r>
      <w:r w:rsidR="00714CD1">
        <w:rPr>
          <w:rFonts w:ascii="Times New Roman" w:eastAsia="Calibri" w:hAnsi="Times New Roman" w:cs="Times New Roman"/>
          <w:sz w:val="24"/>
          <w:szCs w:val="24"/>
        </w:rPr>
        <w:t xml:space="preserve"> W prawie upadłościowym</w:t>
      </w:r>
      <w:r w:rsidR="00714CD1" w:rsidRPr="00692C6D">
        <w:rPr>
          <w:rFonts w:ascii="Times New Roman" w:eastAsia="Calibri" w:hAnsi="Times New Roman" w:cs="Times New Roman"/>
          <w:sz w:val="24"/>
          <w:szCs w:val="24"/>
        </w:rPr>
        <w:t xml:space="preserve"> nie </w:t>
      </w:r>
      <w:r w:rsidR="00714CD1">
        <w:rPr>
          <w:rFonts w:ascii="Times New Roman" w:eastAsia="Calibri" w:hAnsi="Times New Roman" w:cs="Times New Roman"/>
          <w:sz w:val="24"/>
          <w:szCs w:val="24"/>
        </w:rPr>
        <w:t>zostały osobno wydzielone</w:t>
      </w:r>
      <w:r w:rsidR="00F44D5B">
        <w:rPr>
          <w:rFonts w:ascii="Times New Roman" w:eastAsia="Calibri" w:hAnsi="Times New Roman" w:cs="Times New Roman"/>
          <w:sz w:val="24"/>
          <w:szCs w:val="24"/>
        </w:rPr>
        <w:t xml:space="preserve"> część materialna i procesowa. </w:t>
      </w:r>
      <w:r w:rsidR="00714CD1">
        <w:rPr>
          <w:rFonts w:ascii="Times New Roman" w:eastAsia="Calibri" w:hAnsi="Times New Roman" w:cs="Times New Roman"/>
          <w:sz w:val="24"/>
          <w:szCs w:val="24"/>
        </w:rPr>
        <w:t>Ma ono raczej specyficzny, mieszany charakter, obejmującym obok dominujących norm o charakterze proce</w:t>
      </w:r>
      <w:r w:rsidR="00C03D28">
        <w:rPr>
          <w:rFonts w:ascii="Times New Roman" w:eastAsia="Calibri" w:hAnsi="Times New Roman" w:cs="Times New Roman"/>
          <w:sz w:val="24"/>
          <w:szCs w:val="24"/>
        </w:rPr>
        <w:t xml:space="preserve">sowym, również normy </w:t>
      </w:r>
      <w:proofErr w:type="spellStart"/>
      <w:r w:rsidR="00C03D28">
        <w:rPr>
          <w:rFonts w:ascii="Times New Roman" w:eastAsia="Calibri" w:hAnsi="Times New Roman" w:cs="Times New Roman"/>
          <w:sz w:val="24"/>
          <w:szCs w:val="24"/>
        </w:rPr>
        <w:t>materialno</w:t>
      </w:r>
      <w:r w:rsidR="00714CD1">
        <w:rPr>
          <w:rFonts w:ascii="Times New Roman" w:eastAsia="Calibri" w:hAnsi="Times New Roman" w:cs="Times New Roman"/>
          <w:sz w:val="24"/>
          <w:szCs w:val="24"/>
        </w:rPr>
        <w:t>prawne</w:t>
      </w:r>
      <w:proofErr w:type="spellEnd"/>
      <w:r w:rsidR="00F44D5B">
        <w:rPr>
          <w:rFonts w:ascii="Times New Roman" w:eastAsia="Calibri" w:hAnsi="Times New Roman" w:cs="Times New Roman"/>
          <w:sz w:val="24"/>
          <w:szCs w:val="24"/>
        </w:rPr>
        <w:t xml:space="preserve"> oraz wykonawcze.  </w:t>
      </w:r>
    </w:p>
    <w:p w:rsidR="008B67DA" w:rsidRDefault="00714CD1" w:rsidP="00714CD1">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Również samą u</w:t>
      </w:r>
      <w:r w:rsidR="00692C6D" w:rsidRPr="00692C6D">
        <w:rPr>
          <w:rFonts w:ascii="Times New Roman" w:eastAsia="Calibri" w:hAnsi="Times New Roman" w:cs="Times New Roman"/>
          <w:sz w:val="24"/>
          <w:szCs w:val="24"/>
        </w:rPr>
        <w:t>padłość</w:t>
      </w:r>
      <w:r w:rsidR="00C03D28">
        <w:rPr>
          <w:rFonts w:ascii="Times New Roman" w:eastAsia="Calibri" w:hAnsi="Times New Roman" w:cs="Times New Roman"/>
          <w:sz w:val="24"/>
          <w:szCs w:val="24"/>
        </w:rPr>
        <w:t xml:space="preserve"> można </w:t>
      </w:r>
      <w:r w:rsidR="00BF36C2">
        <w:rPr>
          <w:rFonts w:ascii="Times New Roman" w:eastAsia="Calibri" w:hAnsi="Times New Roman" w:cs="Times New Roman"/>
          <w:sz w:val="24"/>
          <w:szCs w:val="24"/>
        </w:rPr>
        <w:t>postrzegać</w:t>
      </w:r>
      <w:r>
        <w:rPr>
          <w:rFonts w:ascii="Times New Roman" w:eastAsia="Calibri" w:hAnsi="Times New Roman" w:cs="Times New Roman"/>
          <w:sz w:val="24"/>
          <w:szCs w:val="24"/>
        </w:rPr>
        <w:t xml:space="preserve"> nie tylko jako pewną szczególną procedurę zmierzającą do zaspokojenia wierzycieli niewypłacalnego dłużnika, mieszczącą</w:t>
      </w:r>
      <w:r w:rsidR="00BF36C2">
        <w:rPr>
          <w:rFonts w:ascii="Times New Roman" w:eastAsia="Calibri" w:hAnsi="Times New Roman" w:cs="Times New Roman"/>
          <w:sz w:val="24"/>
          <w:szCs w:val="24"/>
        </w:rPr>
        <w:t xml:space="preserve"> </w:t>
      </w:r>
      <w:r w:rsidR="00C03D28">
        <w:rPr>
          <w:rFonts w:ascii="Times New Roman" w:eastAsia="Calibri" w:hAnsi="Times New Roman" w:cs="Times New Roman"/>
          <w:sz w:val="24"/>
          <w:szCs w:val="24"/>
        </w:rPr>
        <w:t>się w szeroko</w:t>
      </w:r>
      <w:r>
        <w:rPr>
          <w:rFonts w:ascii="Times New Roman" w:eastAsia="Calibri" w:hAnsi="Times New Roman" w:cs="Times New Roman"/>
          <w:sz w:val="24"/>
          <w:szCs w:val="24"/>
        </w:rPr>
        <w:t xml:space="preserve"> rozumianym postępowaniu cywilnym, ale raczej </w:t>
      </w:r>
      <w:r w:rsidR="00BF36C2">
        <w:rPr>
          <w:rFonts w:ascii="Times New Roman" w:eastAsia="Calibri" w:hAnsi="Times New Roman" w:cs="Times New Roman"/>
          <w:sz w:val="24"/>
          <w:szCs w:val="24"/>
        </w:rPr>
        <w:t>jako</w:t>
      </w:r>
      <w:r w:rsidR="008B67DA">
        <w:rPr>
          <w:rFonts w:ascii="Times New Roman" w:eastAsia="Calibri" w:hAnsi="Times New Roman" w:cs="Times New Roman"/>
          <w:sz w:val="24"/>
          <w:szCs w:val="24"/>
        </w:rPr>
        <w:t xml:space="preserve"> specjalną instytucję</w:t>
      </w:r>
      <w:r w:rsidR="00692C6D" w:rsidRPr="00692C6D">
        <w:rPr>
          <w:rFonts w:ascii="Times New Roman" w:eastAsia="Calibri" w:hAnsi="Times New Roman" w:cs="Times New Roman"/>
          <w:sz w:val="24"/>
          <w:szCs w:val="24"/>
        </w:rPr>
        <w:t xml:space="preserve"> p</w:t>
      </w:r>
      <w:r w:rsidR="008B67DA">
        <w:rPr>
          <w:rFonts w:ascii="Times New Roman" w:eastAsia="Calibri" w:hAnsi="Times New Roman" w:cs="Times New Roman"/>
          <w:sz w:val="24"/>
          <w:szCs w:val="24"/>
        </w:rPr>
        <w:t>rawną z pogranicza prawa materialnego i procesowego,</w:t>
      </w:r>
      <w:r w:rsidR="00C03D28">
        <w:rPr>
          <w:rFonts w:ascii="Times New Roman" w:eastAsia="Calibri" w:hAnsi="Times New Roman" w:cs="Times New Roman"/>
          <w:sz w:val="24"/>
          <w:szCs w:val="24"/>
        </w:rPr>
        <w:t xml:space="preserve"> ustanowioną przepisami </w:t>
      </w:r>
      <w:r w:rsidR="00692C6D" w:rsidRPr="00692C6D">
        <w:rPr>
          <w:rFonts w:ascii="Times New Roman" w:eastAsia="Calibri" w:hAnsi="Times New Roman" w:cs="Times New Roman"/>
          <w:sz w:val="24"/>
          <w:szCs w:val="24"/>
        </w:rPr>
        <w:t xml:space="preserve">prawa upadłościowego w celu </w:t>
      </w:r>
      <w:r w:rsidR="008B67DA">
        <w:rPr>
          <w:rFonts w:ascii="Times New Roman" w:eastAsia="Calibri" w:hAnsi="Times New Roman" w:cs="Times New Roman"/>
          <w:sz w:val="24"/>
          <w:szCs w:val="24"/>
        </w:rPr>
        <w:t>doprowadzenia do</w:t>
      </w:r>
      <w:r w:rsidR="00692C6D" w:rsidRPr="00692C6D">
        <w:rPr>
          <w:rFonts w:ascii="Times New Roman" w:eastAsia="Calibri" w:hAnsi="Times New Roman" w:cs="Times New Roman"/>
          <w:sz w:val="24"/>
          <w:szCs w:val="24"/>
        </w:rPr>
        <w:t xml:space="preserve"> równomiernego zaspokojenia wierzytelności ogółu wierzycieli </w:t>
      </w:r>
      <w:r w:rsidR="008B67DA">
        <w:rPr>
          <w:rFonts w:ascii="Times New Roman" w:eastAsia="Calibri" w:hAnsi="Times New Roman" w:cs="Times New Roman"/>
          <w:sz w:val="24"/>
          <w:szCs w:val="24"/>
        </w:rPr>
        <w:t xml:space="preserve">niewypłacalnego dłużnika (upadłego) </w:t>
      </w:r>
      <w:r w:rsidR="00692C6D" w:rsidRPr="00692C6D">
        <w:rPr>
          <w:rFonts w:ascii="Times New Roman" w:eastAsia="Calibri" w:hAnsi="Times New Roman" w:cs="Times New Roman"/>
          <w:sz w:val="24"/>
          <w:szCs w:val="24"/>
        </w:rPr>
        <w:t>z całego</w:t>
      </w:r>
      <w:r w:rsidR="008B67DA">
        <w:rPr>
          <w:rFonts w:ascii="Times New Roman" w:eastAsia="Calibri" w:hAnsi="Times New Roman" w:cs="Times New Roman"/>
          <w:sz w:val="24"/>
          <w:szCs w:val="24"/>
        </w:rPr>
        <w:t xml:space="preserve"> jego majątku, a jeśli okoliczności na to pozwolą – zachowanie przedsiębiorstwa dłużnika. </w:t>
      </w:r>
      <w:r>
        <w:rPr>
          <w:rFonts w:ascii="Times New Roman" w:eastAsia="Calibri" w:hAnsi="Times New Roman" w:cs="Times New Roman"/>
          <w:sz w:val="24"/>
          <w:szCs w:val="24"/>
        </w:rPr>
        <w:t xml:space="preserve">Wpisuje się to w pewien ogólnoświatowy ewolucyjny trend prawa upadłościowego – coraz częściej postrzeganego raczej jako fragment większej całości, tzw. prawa </w:t>
      </w:r>
      <w:proofErr w:type="spellStart"/>
      <w:r>
        <w:rPr>
          <w:rFonts w:ascii="Times New Roman" w:eastAsia="Calibri" w:hAnsi="Times New Roman" w:cs="Times New Roman"/>
          <w:sz w:val="24"/>
          <w:szCs w:val="24"/>
        </w:rPr>
        <w:t>insolwencyjnego</w:t>
      </w:r>
      <w:proofErr w:type="spellEnd"/>
      <w:r>
        <w:rPr>
          <w:rFonts w:ascii="Times New Roman" w:eastAsia="Calibri" w:hAnsi="Times New Roman" w:cs="Times New Roman"/>
          <w:sz w:val="24"/>
          <w:szCs w:val="24"/>
        </w:rPr>
        <w:t xml:space="preserve">, </w:t>
      </w:r>
      <w:r w:rsidR="00F44D5B">
        <w:rPr>
          <w:rFonts w:ascii="Times New Roman" w:eastAsia="Calibri" w:hAnsi="Times New Roman" w:cs="Times New Roman"/>
          <w:sz w:val="24"/>
          <w:szCs w:val="24"/>
        </w:rPr>
        <w:t xml:space="preserve">obejmującego również prawo restrukturyzacyjne. Nie sposób jednak zapomnieć, że podstawowym celem </w:t>
      </w:r>
      <w:r w:rsidR="00F44D5B" w:rsidRPr="00692C6D">
        <w:rPr>
          <w:rFonts w:ascii="Times New Roman" w:eastAsia="Calibri" w:hAnsi="Times New Roman" w:cs="Times New Roman"/>
          <w:sz w:val="24"/>
          <w:szCs w:val="24"/>
        </w:rPr>
        <w:t xml:space="preserve">postępowania upadłościowego </w:t>
      </w:r>
      <w:r w:rsidR="00F44D5B">
        <w:rPr>
          <w:rFonts w:ascii="Times New Roman" w:eastAsia="Calibri" w:hAnsi="Times New Roman" w:cs="Times New Roman"/>
          <w:sz w:val="24"/>
          <w:szCs w:val="24"/>
        </w:rPr>
        <w:t xml:space="preserve">jest zaspokojenie w jak największym zakresie </w:t>
      </w:r>
      <w:r w:rsidR="00F44D5B" w:rsidRPr="00692C6D">
        <w:rPr>
          <w:rFonts w:ascii="Times New Roman" w:eastAsia="Calibri" w:hAnsi="Times New Roman" w:cs="Times New Roman"/>
          <w:sz w:val="24"/>
          <w:szCs w:val="24"/>
        </w:rPr>
        <w:t xml:space="preserve">wszystkich wierzycieli  </w:t>
      </w:r>
      <w:r w:rsidR="00F44D5B">
        <w:rPr>
          <w:rFonts w:ascii="Times New Roman" w:eastAsia="Calibri" w:hAnsi="Times New Roman" w:cs="Times New Roman"/>
          <w:sz w:val="24"/>
          <w:szCs w:val="24"/>
        </w:rPr>
        <w:t xml:space="preserve">upadłego </w:t>
      </w:r>
      <w:r w:rsidR="00F44D5B" w:rsidRPr="00692C6D">
        <w:rPr>
          <w:rFonts w:ascii="Times New Roman" w:eastAsia="Calibri" w:hAnsi="Times New Roman" w:cs="Times New Roman"/>
          <w:sz w:val="24"/>
          <w:szCs w:val="24"/>
        </w:rPr>
        <w:t>z całego majątku dłużnika</w:t>
      </w:r>
      <w:r w:rsidR="00F44D5B">
        <w:rPr>
          <w:rFonts w:ascii="Times New Roman" w:eastAsia="Calibri" w:hAnsi="Times New Roman" w:cs="Times New Roman"/>
          <w:sz w:val="24"/>
          <w:szCs w:val="24"/>
        </w:rPr>
        <w:t xml:space="preserve"> - w odróżnieniu od egzekucji prowadzonej w oparciu o przepisy Kodeksu postępowania cywilnego, zmierzającej do zaspokojenia z majątku dłużnika konkretnego wierzyciela, określanej jako egzekucja indywidualna (czy też „</w:t>
      </w:r>
      <w:proofErr w:type="spellStart"/>
      <w:r w:rsidR="00F44D5B">
        <w:rPr>
          <w:rFonts w:ascii="Times New Roman" w:eastAsia="Calibri" w:hAnsi="Times New Roman" w:cs="Times New Roman"/>
          <w:sz w:val="24"/>
          <w:szCs w:val="24"/>
        </w:rPr>
        <w:t>singularna</w:t>
      </w:r>
      <w:proofErr w:type="spellEnd"/>
      <w:r w:rsidR="00F44D5B">
        <w:rPr>
          <w:rFonts w:ascii="Times New Roman" w:eastAsia="Calibri" w:hAnsi="Times New Roman" w:cs="Times New Roman"/>
          <w:sz w:val="24"/>
          <w:szCs w:val="24"/>
        </w:rPr>
        <w:t>”). Uzasadnione jest zate</w:t>
      </w:r>
      <w:r w:rsidR="00C03D28">
        <w:rPr>
          <w:rFonts w:ascii="Times New Roman" w:eastAsia="Calibri" w:hAnsi="Times New Roman" w:cs="Times New Roman"/>
          <w:sz w:val="24"/>
          <w:szCs w:val="24"/>
        </w:rPr>
        <w:t>m nadal tradycyjne postrzeganie</w:t>
      </w:r>
      <w:r w:rsidR="00F44D5B">
        <w:rPr>
          <w:rFonts w:ascii="Times New Roman" w:eastAsia="Calibri" w:hAnsi="Times New Roman" w:cs="Times New Roman"/>
          <w:sz w:val="24"/>
          <w:szCs w:val="24"/>
        </w:rPr>
        <w:t xml:space="preserve"> postępowania upadłościowego jako egzekucji generalnej. </w:t>
      </w:r>
    </w:p>
    <w:p w:rsidR="00726007" w:rsidRPr="00692C6D" w:rsidRDefault="00726007" w:rsidP="00726007">
      <w:pPr>
        <w:spacing w:after="0" w:line="360" w:lineRule="auto"/>
        <w:ind w:firstLine="708"/>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 xml:space="preserve">Upadłość </w:t>
      </w:r>
      <w:r>
        <w:rPr>
          <w:rFonts w:ascii="Times New Roman" w:eastAsia="Calibri" w:hAnsi="Times New Roman" w:cs="Times New Roman"/>
          <w:sz w:val="24"/>
          <w:szCs w:val="24"/>
        </w:rPr>
        <w:t>postrzegana jako egzekucja generalna, zmierzająca</w:t>
      </w:r>
      <w:r w:rsidRPr="00692C6D">
        <w:rPr>
          <w:rFonts w:ascii="Times New Roman" w:eastAsia="Calibri" w:hAnsi="Times New Roman" w:cs="Times New Roman"/>
          <w:sz w:val="24"/>
          <w:szCs w:val="24"/>
        </w:rPr>
        <w:t xml:space="preserve"> zasadniczo do spieniężenia całości majątku dłużnika w celu uzyskania funduszów masy upadłości służących zaspokojeniu </w:t>
      </w:r>
      <w:r>
        <w:rPr>
          <w:rFonts w:ascii="Times New Roman" w:eastAsia="Calibri" w:hAnsi="Times New Roman" w:cs="Times New Roman"/>
          <w:sz w:val="24"/>
          <w:szCs w:val="24"/>
        </w:rPr>
        <w:t>wszystkich wierzycieli upadłego,</w:t>
      </w:r>
      <w:r w:rsidRPr="00692C6D">
        <w:rPr>
          <w:rFonts w:ascii="Times New Roman" w:eastAsia="Calibri" w:hAnsi="Times New Roman" w:cs="Times New Roman"/>
          <w:sz w:val="24"/>
          <w:szCs w:val="24"/>
        </w:rPr>
        <w:t xml:space="preserve"> jest </w:t>
      </w:r>
      <w:r>
        <w:rPr>
          <w:rFonts w:ascii="Times New Roman" w:eastAsia="Calibri" w:hAnsi="Times New Roman" w:cs="Times New Roman"/>
          <w:sz w:val="24"/>
          <w:szCs w:val="24"/>
        </w:rPr>
        <w:t xml:space="preserve">zatem </w:t>
      </w:r>
      <w:r w:rsidR="00C03D28">
        <w:rPr>
          <w:rFonts w:ascii="Times New Roman" w:eastAsia="Calibri" w:hAnsi="Times New Roman" w:cs="Times New Roman"/>
          <w:sz w:val="24"/>
          <w:szCs w:val="24"/>
        </w:rPr>
        <w:t>procedurą urucha</w:t>
      </w:r>
      <w:r w:rsidRPr="00692C6D">
        <w:rPr>
          <w:rFonts w:ascii="Times New Roman" w:eastAsia="Calibri" w:hAnsi="Times New Roman" w:cs="Times New Roman"/>
          <w:sz w:val="24"/>
          <w:szCs w:val="24"/>
        </w:rPr>
        <w:t>mianą w razie niewypłacalności dłu</w:t>
      </w:r>
      <w:r w:rsidR="00C03D28">
        <w:rPr>
          <w:rFonts w:ascii="Times New Roman" w:eastAsia="Calibri" w:hAnsi="Times New Roman" w:cs="Times New Roman"/>
          <w:sz w:val="24"/>
          <w:szCs w:val="24"/>
        </w:rPr>
        <w:t>żnika, polegającą</w:t>
      </w:r>
      <w:r w:rsidRPr="00692C6D">
        <w:rPr>
          <w:rFonts w:ascii="Times New Roman" w:eastAsia="Calibri" w:hAnsi="Times New Roman" w:cs="Times New Roman"/>
          <w:sz w:val="24"/>
          <w:szCs w:val="24"/>
        </w:rPr>
        <w:t xml:space="preserve"> na wspólnym dochodzeniu roszczeń przez wszystkich wierzycieli a zarazem dążeniem do umorzenia części długów i oddłużenia upadłego. </w:t>
      </w:r>
    </w:p>
    <w:p w:rsidR="00F44D5B" w:rsidRDefault="00F44D5B" w:rsidP="00714CD1">
      <w:pPr>
        <w:spacing w:after="0" w:line="360" w:lineRule="auto"/>
        <w:ind w:firstLine="708"/>
        <w:jc w:val="both"/>
        <w:rPr>
          <w:rFonts w:ascii="Times New Roman" w:eastAsia="Calibri" w:hAnsi="Times New Roman" w:cs="Times New Roman"/>
          <w:sz w:val="24"/>
          <w:szCs w:val="24"/>
        </w:rPr>
      </w:pPr>
    </w:p>
    <w:p w:rsidR="00C03D28" w:rsidRDefault="00C03D28" w:rsidP="00714CD1">
      <w:pPr>
        <w:spacing w:after="0" w:line="360" w:lineRule="auto"/>
        <w:ind w:firstLine="708"/>
        <w:jc w:val="both"/>
        <w:rPr>
          <w:rFonts w:ascii="Times New Roman" w:eastAsia="Calibri" w:hAnsi="Times New Roman" w:cs="Times New Roman"/>
          <w:sz w:val="24"/>
          <w:szCs w:val="24"/>
        </w:rPr>
      </w:pPr>
    </w:p>
    <w:p w:rsidR="00F44D5B" w:rsidRPr="00726007" w:rsidRDefault="00F44D5B" w:rsidP="00F44D5B">
      <w:pPr>
        <w:spacing w:after="0" w:line="360" w:lineRule="auto"/>
        <w:jc w:val="both"/>
        <w:rPr>
          <w:rFonts w:ascii="Times New Roman" w:eastAsia="Calibri" w:hAnsi="Times New Roman" w:cs="Times New Roman"/>
          <w:b/>
          <w:sz w:val="24"/>
          <w:szCs w:val="24"/>
        </w:rPr>
      </w:pPr>
      <w:r w:rsidRPr="00726007">
        <w:rPr>
          <w:rFonts w:ascii="Times New Roman" w:eastAsia="Calibri" w:hAnsi="Times New Roman" w:cs="Times New Roman"/>
          <w:b/>
          <w:sz w:val="24"/>
          <w:szCs w:val="24"/>
        </w:rPr>
        <w:lastRenderedPageBreak/>
        <w:t>2. Postępowanie upadłościowe jako egzekucja generalna</w:t>
      </w:r>
    </w:p>
    <w:p w:rsidR="00F44D5B" w:rsidRDefault="00F44D5B" w:rsidP="00714CD1">
      <w:pPr>
        <w:spacing w:after="0" w:line="360" w:lineRule="auto"/>
        <w:ind w:firstLine="708"/>
        <w:jc w:val="both"/>
        <w:rPr>
          <w:rFonts w:ascii="Times New Roman" w:eastAsia="Calibri" w:hAnsi="Times New Roman" w:cs="Times New Roman"/>
          <w:sz w:val="24"/>
          <w:szCs w:val="24"/>
        </w:rPr>
      </w:pPr>
    </w:p>
    <w:p w:rsidR="005E00EC" w:rsidRPr="00692C6D" w:rsidRDefault="005E00EC" w:rsidP="00F44D5B">
      <w:pPr>
        <w:spacing w:after="0" w:line="360" w:lineRule="auto"/>
        <w:ind w:firstLine="708"/>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 xml:space="preserve">W sytuacji gdy dłużnik nie wypełnia swojego wymagalnego zobowiązania pieniężnego, typowym sposobem dochodzenia roszczeń przez wierzyciela jest egzekucja indywidualna (określana również jako jednostkowa lub </w:t>
      </w:r>
      <w:proofErr w:type="spellStart"/>
      <w:r w:rsidRPr="00692C6D">
        <w:rPr>
          <w:rFonts w:ascii="Times New Roman" w:eastAsia="Calibri" w:hAnsi="Times New Roman" w:cs="Times New Roman"/>
          <w:sz w:val="24"/>
          <w:szCs w:val="24"/>
        </w:rPr>
        <w:t>singularna</w:t>
      </w:r>
      <w:proofErr w:type="spellEnd"/>
      <w:r w:rsidRPr="00692C6D">
        <w:rPr>
          <w:rFonts w:ascii="Times New Roman" w:eastAsia="Calibri" w:hAnsi="Times New Roman" w:cs="Times New Roman"/>
          <w:sz w:val="24"/>
          <w:szCs w:val="24"/>
        </w:rPr>
        <w:t>), mająca na celu zrealizowanie roszczenia ustalonego w tytule egzekucyjnym poprzez zajęcie poszczególnych przedmiotów majątkowych dłużnika.</w:t>
      </w:r>
    </w:p>
    <w:p w:rsidR="005E00EC" w:rsidRDefault="00B44FCC" w:rsidP="00F44D5B">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jednak, </w:t>
      </w:r>
      <w:r w:rsidR="005E00EC" w:rsidRPr="00692C6D">
        <w:rPr>
          <w:rFonts w:ascii="Times New Roman" w:eastAsia="Calibri" w:hAnsi="Times New Roman" w:cs="Times New Roman"/>
          <w:sz w:val="24"/>
          <w:szCs w:val="24"/>
        </w:rPr>
        <w:t xml:space="preserve">gdy dłużnik jest niewypłacalny – a zatem jego majątek z założenia nie wystarcza na zaspokojenie wszystkich wierzycieli w całości, </w:t>
      </w:r>
      <w:r w:rsidR="00F44D5B">
        <w:rPr>
          <w:rFonts w:ascii="Times New Roman" w:eastAsia="Calibri" w:hAnsi="Times New Roman" w:cs="Times New Roman"/>
          <w:sz w:val="24"/>
          <w:szCs w:val="24"/>
        </w:rPr>
        <w:t>m</w:t>
      </w:r>
      <w:r w:rsidR="00F44D5B" w:rsidRPr="00692C6D">
        <w:rPr>
          <w:rFonts w:ascii="Times New Roman" w:eastAsia="Calibri" w:hAnsi="Times New Roman" w:cs="Times New Roman"/>
          <w:sz w:val="24"/>
          <w:szCs w:val="24"/>
        </w:rPr>
        <w:t>odel egzekucji indywidualne</w:t>
      </w:r>
      <w:r w:rsidR="00C03D28">
        <w:rPr>
          <w:rFonts w:ascii="Times New Roman" w:eastAsia="Calibri" w:hAnsi="Times New Roman" w:cs="Times New Roman"/>
          <w:sz w:val="24"/>
          <w:szCs w:val="24"/>
        </w:rPr>
        <w:t>j</w:t>
      </w:r>
      <w:r w:rsidR="00F44D5B">
        <w:rPr>
          <w:rFonts w:ascii="Times New Roman" w:eastAsia="Calibri" w:hAnsi="Times New Roman" w:cs="Times New Roman"/>
          <w:sz w:val="24"/>
          <w:szCs w:val="24"/>
        </w:rPr>
        <w:t xml:space="preserve"> </w:t>
      </w:r>
      <w:r w:rsidR="005E00EC" w:rsidRPr="00692C6D">
        <w:rPr>
          <w:rFonts w:ascii="Times New Roman" w:eastAsia="Calibri" w:hAnsi="Times New Roman" w:cs="Times New Roman"/>
          <w:sz w:val="24"/>
          <w:szCs w:val="24"/>
        </w:rPr>
        <w:t>mógłby prowadzić do pokrzywdzenia części wierzycieli - poprzez zaspokojenie</w:t>
      </w:r>
      <w:r w:rsidR="00C03D28">
        <w:rPr>
          <w:rFonts w:ascii="Times New Roman" w:eastAsia="Calibri" w:hAnsi="Times New Roman" w:cs="Times New Roman"/>
          <w:sz w:val="24"/>
          <w:szCs w:val="24"/>
        </w:rPr>
        <w:t xml:space="preserve"> jedynie niektórych z nich </w:t>
      </w:r>
      <w:r w:rsidR="005E00EC" w:rsidRPr="00692C6D">
        <w:rPr>
          <w:rFonts w:ascii="Times New Roman" w:eastAsia="Calibri" w:hAnsi="Times New Roman" w:cs="Times New Roman"/>
          <w:sz w:val="24"/>
          <w:szCs w:val="24"/>
        </w:rPr>
        <w:t xml:space="preserve">kosztem pozostałych. Zapobiegać temu ma właśnie instytucja upadłości dłużnika,  której istotą, a zatem podstawowym celem, jest wspólne i co do zasady równe zaspokojenie wszystkich wierzycieli z całego majątku niewypłacalnego dłużnika. Postępowanie upadłościowe, obejmując cały majątek upadłego i będąc prowadzone w celu zaspokojenia wszystkich jego wierzycieli, może być zatem postrzegane jako egzekucja uniwersalna (czy też - generalna), w przeciwieństwie do egzekucji </w:t>
      </w:r>
      <w:proofErr w:type="spellStart"/>
      <w:r w:rsidR="005E00EC" w:rsidRPr="00692C6D">
        <w:rPr>
          <w:rFonts w:ascii="Times New Roman" w:eastAsia="Calibri" w:hAnsi="Times New Roman" w:cs="Times New Roman"/>
          <w:sz w:val="24"/>
          <w:szCs w:val="24"/>
        </w:rPr>
        <w:t>singularnej</w:t>
      </w:r>
      <w:proofErr w:type="spellEnd"/>
      <w:r w:rsidR="005E00EC" w:rsidRPr="00692C6D">
        <w:rPr>
          <w:rFonts w:ascii="Times New Roman" w:eastAsia="Calibri" w:hAnsi="Times New Roman" w:cs="Times New Roman"/>
          <w:sz w:val="24"/>
          <w:szCs w:val="24"/>
        </w:rPr>
        <w:t>, prowadzonej co do zasady w celu zaspokojenia jednego wierzyciela.</w:t>
      </w:r>
    </w:p>
    <w:p w:rsidR="00F44D5B" w:rsidRPr="00692C6D" w:rsidRDefault="00F44D5B" w:rsidP="00F44D5B">
      <w:pPr>
        <w:spacing w:after="0" w:line="360" w:lineRule="auto"/>
        <w:ind w:firstLine="708"/>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 xml:space="preserve">Dochodzenie roszczeń wierzycieli w drodze egzekucji </w:t>
      </w:r>
      <w:proofErr w:type="spellStart"/>
      <w:r w:rsidRPr="00692C6D">
        <w:rPr>
          <w:rFonts w:ascii="Times New Roman" w:eastAsia="Calibri" w:hAnsi="Times New Roman" w:cs="Times New Roman"/>
          <w:sz w:val="24"/>
          <w:szCs w:val="24"/>
        </w:rPr>
        <w:t>singularnej</w:t>
      </w:r>
      <w:proofErr w:type="spellEnd"/>
      <w:r w:rsidRPr="00692C6D">
        <w:rPr>
          <w:rFonts w:ascii="Times New Roman" w:eastAsia="Calibri" w:hAnsi="Times New Roman" w:cs="Times New Roman"/>
          <w:sz w:val="24"/>
          <w:szCs w:val="24"/>
        </w:rPr>
        <w:t>, skuteczne w przypadku, gdy majątek dłużnika wystarcza na pokrycie wszystkich jego zobowiązań, prowadziłoby często do niekorzystnych w punktu widzenia pewności obrotu sytuacji w przypadku gdyby dłużnik taki stałby się niewypłacalny. Egzekucje prowadzone indywidualnie przeciwko dłużnikowi jedynie przez część wierzycieli, mogłyby bowiem narażać resztę z nich – zwłaszcza tych nie posiadających jeszcze tytułów egzekucyjnych - na utratę możliwości zaspokojenia swoich należności, wskutek wykorzystania całości majątku dłużnika na zaspokojenie roszczeń wierzycieli, którzy jako pierwsi wszczęli postępowania egzekucyjne. Wiele odrębnych spraw o zapłatę prowadzonych przeciwko temu samemu, niewypłacalnemu dłużnikowi, blokowałoby ponadto system sądownictwa cywilnego. Nie można również wykluczyć sytuacji, w której dłużnik, którego majątek nie wystarczy na pokrycie całości jego długów, będzie dokonywał wybiórczego zaspokojenia jedynie niektórych wierzycieli.</w:t>
      </w:r>
    </w:p>
    <w:p w:rsidR="00726007" w:rsidRDefault="00F44D5B" w:rsidP="00726007">
      <w:pPr>
        <w:spacing w:after="0" w:line="360" w:lineRule="auto"/>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ab/>
        <w:t xml:space="preserve">Sytuacjom, w których zaspokojenie z majątku niewypłacalnego dłużnika uzyska jedynie część jego wierzycieli, kosztem pozostałych, zapobiegać ma, jak wspomniano we wprowadzeniu, instytucja upadłości dłużnika. Jak już zaznaczono, istotą upadłości jest bowiem wspólne i co do zasady równe zaspokojenie wszystkich wierzycieli z całego majątku </w:t>
      </w:r>
      <w:r w:rsidRPr="00692C6D">
        <w:rPr>
          <w:rFonts w:ascii="Times New Roman" w:eastAsia="Calibri" w:hAnsi="Times New Roman" w:cs="Times New Roman"/>
          <w:sz w:val="24"/>
          <w:szCs w:val="24"/>
        </w:rPr>
        <w:lastRenderedPageBreak/>
        <w:t xml:space="preserve">niewypłacalnego dłużnika. Nie ma przy tym znaczenia, czy dany wierzyciel ma już tytuł egzekucyjny, a także czy jego wierzytelność jest już wymagalna. Nadrzędnym celem postępowania upadłościowego jest zaspokojenie w jak najwyższym stopniu wierzycieli upadłego, który to cel, jak słusznie zwraca uwagę Z. Woźniak, odpowiada w istocie celowi sądowego postępowania egzekucyjnego. </w:t>
      </w:r>
      <w:r w:rsidR="00C03D28">
        <w:rPr>
          <w:rFonts w:ascii="Times New Roman" w:eastAsia="Calibri" w:hAnsi="Times New Roman" w:cs="Times New Roman"/>
          <w:sz w:val="24"/>
          <w:szCs w:val="24"/>
        </w:rPr>
        <w:t>P</w:t>
      </w:r>
      <w:r w:rsidRPr="00692C6D">
        <w:rPr>
          <w:rFonts w:ascii="Times New Roman" w:eastAsia="Calibri" w:hAnsi="Times New Roman" w:cs="Times New Roman"/>
          <w:sz w:val="24"/>
          <w:szCs w:val="24"/>
        </w:rPr>
        <w:t>ostępowanie upadłościowe ma na celu zaspokojenie wierzycieli z majątku niewypłacalnego dłużnika, w drodze przymusowej, wspólnie i w sposób równy, niezależnie od tego czy posiadają oni już tytuły egzekucyjne i czy ich wierzytelności są już wymagalne.</w:t>
      </w:r>
    </w:p>
    <w:p w:rsidR="005E00EC" w:rsidRPr="00692C6D" w:rsidRDefault="00726007" w:rsidP="00B44FCC">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Ponieważ, jak już zaznaczono, p</w:t>
      </w:r>
      <w:r w:rsidR="005E00EC" w:rsidRPr="00692C6D">
        <w:rPr>
          <w:rFonts w:ascii="Times New Roman" w:eastAsia="Calibri" w:hAnsi="Times New Roman" w:cs="Times New Roman"/>
          <w:sz w:val="24"/>
          <w:szCs w:val="24"/>
        </w:rPr>
        <w:t>ost</w:t>
      </w:r>
      <w:r>
        <w:rPr>
          <w:rFonts w:ascii="Times New Roman" w:eastAsia="Calibri" w:hAnsi="Times New Roman" w:cs="Times New Roman"/>
          <w:sz w:val="24"/>
          <w:szCs w:val="24"/>
        </w:rPr>
        <w:t xml:space="preserve">ępowanie upadłościowe może być </w:t>
      </w:r>
      <w:r w:rsidR="005E00EC" w:rsidRPr="00692C6D">
        <w:rPr>
          <w:rFonts w:ascii="Times New Roman" w:eastAsia="Calibri" w:hAnsi="Times New Roman" w:cs="Times New Roman"/>
          <w:sz w:val="24"/>
          <w:szCs w:val="24"/>
        </w:rPr>
        <w:t>postrzegane jako specjalny rodzaj przymusowego zaspokojenia wierzytelności, dopuszczalnego w razie niewypłacalności  dłużnika i skierowanego do całego jego majątku</w:t>
      </w:r>
      <w:r>
        <w:rPr>
          <w:rFonts w:ascii="Times New Roman" w:eastAsia="Calibri" w:hAnsi="Times New Roman" w:cs="Times New Roman"/>
          <w:sz w:val="24"/>
          <w:szCs w:val="24"/>
        </w:rPr>
        <w:t>, w</w:t>
      </w:r>
      <w:r w:rsidR="005E00EC" w:rsidRPr="00692C6D">
        <w:rPr>
          <w:rFonts w:ascii="Times New Roman" w:eastAsia="Calibri" w:hAnsi="Times New Roman" w:cs="Times New Roman"/>
          <w:sz w:val="24"/>
          <w:szCs w:val="24"/>
        </w:rPr>
        <w:t xml:space="preserve">yraźne jest podobieństwo celów postępowania egzekucyjnego i postępowania upadłościowego. Jak słusznie wskazuje J. S. </w:t>
      </w:r>
      <w:proofErr w:type="spellStart"/>
      <w:r w:rsidR="005E00EC" w:rsidRPr="00692C6D">
        <w:rPr>
          <w:rFonts w:ascii="Times New Roman" w:eastAsia="Calibri" w:hAnsi="Times New Roman" w:cs="Times New Roman"/>
          <w:sz w:val="24"/>
          <w:szCs w:val="24"/>
        </w:rPr>
        <w:t>Petraniuk</w:t>
      </w:r>
      <w:proofErr w:type="spellEnd"/>
      <w:r w:rsidR="005E00EC" w:rsidRPr="00692C6D">
        <w:rPr>
          <w:rFonts w:ascii="Times New Roman" w:eastAsia="Calibri" w:hAnsi="Times New Roman" w:cs="Times New Roman"/>
          <w:sz w:val="24"/>
          <w:szCs w:val="24"/>
        </w:rPr>
        <w:t>, upadłość jest stanem prawnym umożliwiającym przeprowadzenie egzekucji na rzecz wierzycieli z całego majątku dłużnika. Postępowanie upadłościowe jest przy tym wyłączną drogą dochodzenia roszczeń wierzycieli przeciwko upadłemu dłużnikowi.</w:t>
      </w:r>
      <w:r>
        <w:rPr>
          <w:rFonts w:ascii="Times New Roman" w:eastAsia="Calibri" w:hAnsi="Times New Roman" w:cs="Times New Roman"/>
          <w:sz w:val="24"/>
          <w:szCs w:val="24"/>
        </w:rPr>
        <w:t xml:space="preserve"> </w:t>
      </w:r>
      <w:r w:rsidR="00B44FCC">
        <w:rPr>
          <w:rFonts w:ascii="Times New Roman" w:eastAsia="Calibri" w:hAnsi="Times New Roman" w:cs="Times New Roman"/>
          <w:sz w:val="24"/>
          <w:szCs w:val="24"/>
        </w:rPr>
        <w:t>P</w:t>
      </w:r>
      <w:r w:rsidR="005E00EC" w:rsidRPr="00692C6D">
        <w:rPr>
          <w:rFonts w:ascii="Times New Roman" w:eastAsia="Calibri" w:hAnsi="Times New Roman" w:cs="Times New Roman"/>
          <w:sz w:val="24"/>
          <w:szCs w:val="24"/>
        </w:rPr>
        <w:t>odziela</w:t>
      </w:r>
      <w:r w:rsidR="00B44FCC">
        <w:rPr>
          <w:rFonts w:ascii="Times New Roman" w:eastAsia="Calibri" w:hAnsi="Times New Roman" w:cs="Times New Roman"/>
          <w:sz w:val="24"/>
          <w:szCs w:val="24"/>
        </w:rPr>
        <w:t>m</w:t>
      </w:r>
      <w:r w:rsidR="005E00EC" w:rsidRPr="00692C6D">
        <w:rPr>
          <w:rFonts w:ascii="Times New Roman" w:eastAsia="Calibri" w:hAnsi="Times New Roman" w:cs="Times New Roman"/>
          <w:sz w:val="24"/>
          <w:szCs w:val="24"/>
        </w:rPr>
        <w:t xml:space="preserve"> pogląd, iż ze względu na fakt, że postępowanie upadłościowe prowadzone jest w interesie wszystkich wierzycieli  niewypłacalnego dłużnika i obejmuje całość jego majątku, ma ono rzeczywiście </w:t>
      </w:r>
      <w:r>
        <w:rPr>
          <w:rFonts w:ascii="Times New Roman" w:eastAsia="Calibri" w:hAnsi="Times New Roman" w:cs="Times New Roman"/>
          <w:sz w:val="24"/>
          <w:szCs w:val="24"/>
        </w:rPr>
        <w:t xml:space="preserve">co do zasady </w:t>
      </w:r>
      <w:r w:rsidR="005E00EC" w:rsidRPr="00692C6D">
        <w:rPr>
          <w:rFonts w:ascii="Times New Roman" w:eastAsia="Calibri" w:hAnsi="Times New Roman" w:cs="Times New Roman"/>
          <w:sz w:val="24"/>
          <w:szCs w:val="24"/>
        </w:rPr>
        <w:t>charakter egzekucji generalnej (uniwersalnej)</w:t>
      </w:r>
      <w:r>
        <w:rPr>
          <w:rFonts w:ascii="Times New Roman" w:eastAsia="Calibri" w:hAnsi="Times New Roman" w:cs="Times New Roman"/>
          <w:sz w:val="24"/>
          <w:szCs w:val="24"/>
        </w:rPr>
        <w:t xml:space="preserve">, pełniąc - </w:t>
      </w:r>
      <w:r w:rsidR="005E00EC" w:rsidRPr="00692C6D">
        <w:rPr>
          <w:rFonts w:ascii="Times New Roman" w:eastAsia="Calibri" w:hAnsi="Times New Roman" w:cs="Times New Roman"/>
          <w:sz w:val="24"/>
          <w:szCs w:val="24"/>
        </w:rPr>
        <w:t xml:space="preserve">zwłaszcza w odniesieniu do jego części obejmującej likwidację masy upadłości i podziału uzyskanej kwoty, pełniącego, na co trafnie wskazuje A. </w:t>
      </w:r>
      <w:proofErr w:type="spellStart"/>
      <w:r w:rsidR="005E00EC" w:rsidRPr="00692C6D">
        <w:rPr>
          <w:rFonts w:ascii="Times New Roman" w:eastAsia="Calibri" w:hAnsi="Times New Roman" w:cs="Times New Roman"/>
          <w:sz w:val="24"/>
          <w:szCs w:val="24"/>
        </w:rPr>
        <w:t>Jakubecki</w:t>
      </w:r>
      <w:proofErr w:type="spellEnd"/>
      <w:r w:rsidR="005E00EC" w:rsidRPr="00692C6D">
        <w:rPr>
          <w:rFonts w:ascii="Times New Roman" w:eastAsia="Calibri" w:hAnsi="Times New Roman" w:cs="Times New Roman"/>
          <w:sz w:val="24"/>
          <w:szCs w:val="24"/>
        </w:rPr>
        <w:t xml:space="preserve">, analogiczną funkcję jak postępowanie egzekucyjne. </w:t>
      </w:r>
      <w:r w:rsidRPr="00692C6D">
        <w:rPr>
          <w:rFonts w:ascii="Times New Roman" w:eastAsia="Calibri" w:hAnsi="Times New Roman" w:cs="Times New Roman"/>
          <w:sz w:val="24"/>
          <w:szCs w:val="24"/>
        </w:rPr>
        <w:t xml:space="preserve">Z punktu widzenia gospodarczego celu upadłości, postępowanie to zmierza zatem zasadniczo do ograniczenia skutków niewypłacalności dłużnika dla jego wierzycieli i ich zaspokojenia z majątku upadłego w maksymalnym stopniu. </w:t>
      </w:r>
    </w:p>
    <w:p w:rsidR="005E00EC" w:rsidRPr="00692C6D" w:rsidRDefault="005E00EC" w:rsidP="00136798">
      <w:pPr>
        <w:spacing w:after="0" w:line="360" w:lineRule="auto"/>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 xml:space="preserve"> </w:t>
      </w:r>
      <w:r w:rsidRPr="00692C6D">
        <w:rPr>
          <w:rFonts w:ascii="Times New Roman" w:eastAsia="Calibri" w:hAnsi="Times New Roman" w:cs="Times New Roman"/>
          <w:sz w:val="24"/>
          <w:szCs w:val="24"/>
        </w:rPr>
        <w:tab/>
        <w:t xml:space="preserve">Zaznaczyć należy, że </w:t>
      </w:r>
      <w:r w:rsidR="00726007">
        <w:rPr>
          <w:rFonts w:ascii="Times New Roman" w:eastAsia="Calibri" w:hAnsi="Times New Roman" w:cs="Times New Roman"/>
          <w:sz w:val="24"/>
          <w:szCs w:val="24"/>
        </w:rPr>
        <w:t>postępowanie upadłościowe co od zasady</w:t>
      </w:r>
      <w:r w:rsidRPr="00692C6D">
        <w:rPr>
          <w:rFonts w:ascii="Times New Roman" w:eastAsia="Calibri" w:hAnsi="Times New Roman" w:cs="Times New Roman"/>
          <w:sz w:val="24"/>
          <w:szCs w:val="24"/>
        </w:rPr>
        <w:t xml:space="preserve"> nie może się toczyć z udziałem jednego tylko wierzyciela (pogląd ten znajduje również oparcie w orzecznictwie). W sytuacji takiej ewentualny wniosek o ogłoszenie upadłości dłużnika powinien zostać oddalony, gdyż wierzyciel taki może osiągnąć zaspokojenie swoich roszczeń w drodze egzekucji </w:t>
      </w:r>
      <w:proofErr w:type="spellStart"/>
      <w:r w:rsidRPr="00692C6D">
        <w:rPr>
          <w:rFonts w:ascii="Times New Roman" w:eastAsia="Calibri" w:hAnsi="Times New Roman" w:cs="Times New Roman"/>
          <w:sz w:val="24"/>
          <w:szCs w:val="24"/>
        </w:rPr>
        <w:t>indywidualneji</w:t>
      </w:r>
      <w:proofErr w:type="spellEnd"/>
      <w:r w:rsidRPr="00692C6D">
        <w:rPr>
          <w:rFonts w:ascii="Times New Roman" w:eastAsia="Calibri" w:hAnsi="Times New Roman" w:cs="Times New Roman"/>
          <w:sz w:val="24"/>
          <w:szCs w:val="24"/>
        </w:rPr>
        <w:t xml:space="preserve"> równocześnie, wobec braku innych wierzycieli, nie zachodzi potrzeba ochrony ich interesu grupowego. Ogłoszenie upadłości dłużnika może zatem nastąpić tylko wtedy, gdy istnieje co najmniej dwóch jego wierzycieli, gdyż postępowanie upadłościowe musi być wspólnym postępowaniem wierzycieli, podjętym w celu dochodzenia roszczeń od niewypłacalnego podmiotu, do którego stosuje się przepisy </w:t>
      </w:r>
      <w:r w:rsidR="00726007">
        <w:rPr>
          <w:rFonts w:ascii="Times New Roman" w:eastAsia="Calibri" w:hAnsi="Times New Roman" w:cs="Times New Roman"/>
          <w:sz w:val="24"/>
          <w:szCs w:val="24"/>
        </w:rPr>
        <w:t xml:space="preserve">ustawy </w:t>
      </w:r>
      <w:r w:rsidRPr="00692C6D">
        <w:rPr>
          <w:rFonts w:ascii="Times New Roman" w:eastAsia="Calibri" w:hAnsi="Times New Roman" w:cs="Times New Roman"/>
          <w:sz w:val="24"/>
          <w:szCs w:val="24"/>
        </w:rPr>
        <w:t>P</w:t>
      </w:r>
      <w:r w:rsidR="00726007">
        <w:rPr>
          <w:rFonts w:ascii="Times New Roman" w:eastAsia="Calibri" w:hAnsi="Times New Roman" w:cs="Times New Roman"/>
          <w:sz w:val="24"/>
          <w:szCs w:val="24"/>
        </w:rPr>
        <w:t xml:space="preserve">rawo </w:t>
      </w:r>
      <w:r w:rsidRPr="00692C6D">
        <w:rPr>
          <w:rFonts w:ascii="Times New Roman" w:eastAsia="Calibri" w:hAnsi="Times New Roman" w:cs="Times New Roman"/>
          <w:sz w:val="24"/>
          <w:szCs w:val="24"/>
        </w:rPr>
        <w:t>U</w:t>
      </w:r>
      <w:r w:rsidR="00726007">
        <w:rPr>
          <w:rFonts w:ascii="Times New Roman" w:eastAsia="Calibri" w:hAnsi="Times New Roman" w:cs="Times New Roman"/>
          <w:sz w:val="24"/>
          <w:szCs w:val="24"/>
        </w:rPr>
        <w:t>padłościowe</w:t>
      </w:r>
      <w:r w:rsidRPr="00692C6D">
        <w:rPr>
          <w:rFonts w:ascii="Times New Roman" w:eastAsia="Calibri" w:hAnsi="Times New Roman" w:cs="Times New Roman"/>
          <w:sz w:val="24"/>
          <w:szCs w:val="24"/>
        </w:rPr>
        <w:t xml:space="preserve">. Wyraźnie widoczna jest zatem różnica pomiędzy egzekucją indywidualną </w:t>
      </w:r>
      <w:r w:rsidRPr="00692C6D">
        <w:rPr>
          <w:rFonts w:ascii="Times New Roman" w:eastAsia="Calibri" w:hAnsi="Times New Roman" w:cs="Times New Roman"/>
          <w:sz w:val="24"/>
          <w:szCs w:val="24"/>
        </w:rPr>
        <w:lastRenderedPageBreak/>
        <w:t>mającą na celu zaspokojenie roszczeń tylko jednego wierzyciela, a postępowaniem upadłościowym, jako egzekucją generalną, prowadzoną w celu zaspokojenia większej liczby wierzycieli upadłego.</w:t>
      </w:r>
    </w:p>
    <w:p w:rsidR="005E00EC" w:rsidRDefault="005E00EC" w:rsidP="00726007">
      <w:pPr>
        <w:spacing w:after="0" w:line="360" w:lineRule="auto"/>
        <w:jc w:val="both"/>
        <w:rPr>
          <w:rFonts w:ascii="Times New Roman" w:eastAsia="Calibri" w:hAnsi="Times New Roman" w:cs="Times New Roman"/>
          <w:sz w:val="24"/>
          <w:szCs w:val="24"/>
        </w:rPr>
      </w:pPr>
    </w:p>
    <w:p w:rsidR="00726007" w:rsidRPr="00726007" w:rsidRDefault="00726007" w:rsidP="00726007">
      <w:pPr>
        <w:pStyle w:val="Akapitzlist"/>
        <w:numPr>
          <w:ilvl w:val="0"/>
          <w:numId w:val="4"/>
        </w:numPr>
        <w:spacing w:after="0" w:line="360" w:lineRule="auto"/>
        <w:jc w:val="both"/>
        <w:rPr>
          <w:rFonts w:ascii="Times New Roman" w:eastAsia="Calibri" w:hAnsi="Times New Roman" w:cs="Times New Roman"/>
          <w:b/>
          <w:sz w:val="24"/>
          <w:szCs w:val="24"/>
        </w:rPr>
      </w:pPr>
      <w:r w:rsidRPr="00726007">
        <w:rPr>
          <w:rFonts w:ascii="Times New Roman" w:eastAsia="Calibri" w:hAnsi="Times New Roman" w:cs="Times New Roman"/>
          <w:b/>
          <w:sz w:val="24"/>
          <w:szCs w:val="24"/>
        </w:rPr>
        <w:t>Geneza i ewolucja prawa upadłościowego</w:t>
      </w:r>
    </w:p>
    <w:p w:rsidR="00234402" w:rsidRPr="00692C6D" w:rsidRDefault="00234402" w:rsidP="00234402">
      <w:pPr>
        <w:spacing w:after="0" w:line="360" w:lineRule="auto"/>
        <w:jc w:val="both"/>
        <w:rPr>
          <w:rFonts w:ascii="Times New Roman" w:eastAsia="Calibri" w:hAnsi="Times New Roman" w:cs="Times New Roman"/>
          <w:sz w:val="24"/>
          <w:szCs w:val="24"/>
        </w:rPr>
      </w:pPr>
    </w:p>
    <w:p w:rsidR="00CD4D94" w:rsidRDefault="00234402" w:rsidP="00CD4D94">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Omawiając genezę prawa upadłościowego stajemy przed niełatwym problemem oddzielenia norm dawnego prawa dotyczących dochodzenia roszczeń przez indywidualnych wierzycieli - a zatem w </w:t>
      </w:r>
      <w:r w:rsidR="00563DE6">
        <w:rPr>
          <w:rFonts w:ascii="Times New Roman" w:eastAsia="Calibri" w:hAnsi="Times New Roman" w:cs="Times New Roman"/>
          <w:sz w:val="24"/>
          <w:szCs w:val="24"/>
        </w:rPr>
        <w:t>naszej terminologii egzekucji syngularnej</w:t>
      </w:r>
      <w:r>
        <w:rPr>
          <w:rFonts w:ascii="Times New Roman" w:eastAsia="Calibri" w:hAnsi="Times New Roman" w:cs="Times New Roman"/>
          <w:sz w:val="24"/>
          <w:szCs w:val="24"/>
        </w:rPr>
        <w:t xml:space="preserve"> od norm zbliżonych w swym założeniu i kształcie do współczesnego prawa upadłościowego, zakładających egzekucję generalną, połączoną z dążeniem do oddłużenia upadłego. Można jednak stwierdzić, że o ile kwestie dotyczące indywidualnej odpowiedzialności za długi pojawiły się już u zarania prawodawstwa (przykładowo już  </w:t>
      </w:r>
      <w:r w:rsidRPr="00692C6D">
        <w:rPr>
          <w:rFonts w:ascii="Times New Roman" w:eastAsia="Calibri" w:hAnsi="Times New Roman" w:cs="Times New Roman"/>
          <w:sz w:val="24"/>
          <w:szCs w:val="24"/>
        </w:rPr>
        <w:t>około 1750 r. p. n. e. kodeks Hammurabiego zawierał przepisy dotyczące ograniczenia czasu trwania zastawu lub sprzedaży za długi</w:t>
      </w:r>
      <w:r>
        <w:rPr>
          <w:rFonts w:ascii="Times New Roman" w:eastAsia="Calibri" w:hAnsi="Times New Roman" w:cs="Times New Roman"/>
          <w:sz w:val="24"/>
          <w:szCs w:val="24"/>
        </w:rPr>
        <w:t xml:space="preserve">), to brak było kompleksowych spójnych regulacji dotyczących wspólnego zaspokojenia </w:t>
      </w:r>
      <w:r w:rsidR="00934EC4">
        <w:rPr>
          <w:rFonts w:ascii="Times New Roman" w:eastAsia="Calibri" w:hAnsi="Times New Roman" w:cs="Times New Roman"/>
          <w:sz w:val="24"/>
          <w:szCs w:val="24"/>
        </w:rPr>
        <w:t xml:space="preserve">roszczeń ogółu wierzycieli dłużnika z całego jego majątku – a zatem regulacji postępowania upadłościowego w naszym rozumieniu. Zdarzały się wprawdzie regulacje dotyczące oddłużenia ogółu dłużników – przykładem są wprowadzone w starożytnych Atenach w VI wieku B.C. </w:t>
      </w:r>
      <w:r w:rsidR="00934EC4" w:rsidRPr="00692C6D">
        <w:rPr>
          <w:rFonts w:ascii="Times New Roman" w:eastAsia="Calibri" w:hAnsi="Times New Roman" w:cs="Times New Roman"/>
          <w:sz w:val="24"/>
          <w:szCs w:val="24"/>
        </w:rPr>
        <w:t xml:space="preserve">reformy Solona, </w:t>
      </w:r>
      <w:r w:rsidR="00934EC4">
        <w:rPr>
          <w:rFonts w:ascii="Times New Roman" w:eastAsia="Calibri" w:hAnsi="Times New Roman" w:cs="Times New Roman"/>
          <w:sz w:val="24"/>
          <w:szCs w:val="24"/>
        </w:rPr>
        <w:t xml:space="preserve">polegające na tym, że </w:t>
      </w:r>
      <w:r w:rsidR="00934EC4" w:rsidRPr="00692C6D">
        <w:rPr>
          <w:rFonts w:ascii="Times New Roman" w:eastAsia="Calibri" w:hAnsi="Times New Roman" w:cs="Times New Roman"/>
          <w:sz w:val="24"/>
          <w:szCs w:val="24"/>
        </w:rPr>
        <w:t>długi właścicieli posiadających niewielkie ilości gruntów, które były zabezpieczone na tych gruntach lub na osobie dłużników, ulegały umorzeniu</w:t>
      </w:r>
      <w:r w:rsidR="00934EC4">
        <w:rPr>
          <w:rFonts w:ascii="Times New Roman" w:eastAsia="Calibri" w:hAnsi="Times New Roman" w:cs="Times New Roman"/>
          <w:sz w:val="24"/>
          <w:szCs w:val="24"/>
        </w:rPr>
        <w:t xml:space="preserve"> (tzw. </w:t>
      </w:r>
      <w:hyperlink r:id="rId8" w:tooltip="Sejsachateja (strona nie istnieje)" w:history="1">
        <w:proofErr w:type="spellStart"/>
        <w:r w:rsidR="00934EC4" w:rsidRPr="00BA386E">
          <w:rPr>
            <w:rStyle w:val="Hipercze"/>
            <w:rFonts w:ascii="Times New Roman" w:eastAsia="Calibri" w:hAnsi="Times New Roman" w:cs="Times New Roman"/>
            <w:i/>
            <w:color w:val="auto"/>
            <w:sz w:val="24"/>
            <w:szCs w:val="24"/>
            <w:u w:val="none"/>
          </w:rPr>
          <w:t>sejschateja</w:t>
        </w:r>
        <w:proofErr w:type="spellEnd"/>
        <w:r w:rsidR="00934EC4">
          <w:rPr>
            <w:rStyle w:val="Hipercze"/>
            <w:rFonts w:ascii="Times New Roman" w:eastAsia="Calibri" w:hAnsi="Times New Roman" w:cs="Times New Roman"/>
            <w:color w:val="auto"/>
            <w:sz w:val="24"/>
            <w:szCs w:val="24"/>
            <w:u w:val="none"/>
          </w:rPr>
          <w:t>,</w:t>
        </w:r>
      </w:hyperlink>
      <w:r w:rsidR="00934EC4">
        <w:rPr>
          <w:rFonts w:ascii="Times New Roman" w:eastAsia="Calibri" w:hAnsi="Times New Roman" w:cs="Times New Roman"/>
          <w:sz w:val="24"/>
          <w:szCs w:val="24"/>
        </w:rPr>
        <w:t xml:space="preserve"> czyli </w:t>
      </w:r>
      <w:r w:rsidR="00BA386E">
        <w:rPr>
          <w:rFonts w:ascii="Times New Roman" w:eastAsia="Calibri" w:hAnsi="Times New Roman" w:cs="Times New Roman"/>
          <w:sz w:val="24"/>
          <w:szCs w:val="24"/>
        </w:rPr>
        <w:t>„strząśnięcie ciężarów”)</w:t>
      </w:r>
      <w:r w:rsidR="00934EC4" w:rsidRPr="00934EC4">
        <w:rPr>
          <w:rFonts w:ascii="Times New Roman" w:eastAsia="Calibri" w:hAnsi="Times New Roman" w:cs="Times New Roman"/>
          <w:sz w:val="24"/>
          <w:szCs w:val="24"/>
        </w:rPr>
        <w:t>, j</w:t>
      </w:r>
      <w:r w:rsidR="00934EC4">
        <w:rPr>
          <w:rFonts w:ascii="Times New Roman" w:eastAsia="Calibri" w:hAnsi="Times New Roman" w:cs="Times New Roman"/>
          <w:sz w:val="24"/>
          <w:szCs w:val="24"/>
        </w:rPr>
        <w:t xml:space="preserve">ednak z reguły miały one charakter jednorazowy, odgórny i nietrwały. </w:t>
      </w:r>
      <w:r w:rsidR="00CD4D94">
        <w:rPr>
          <w:rFonts w:ascii="Times New Roman" w:eastAsia="Calibri" w:hAnsi="Times New Roman" w:cs="Times New Roman"/>
          <w:sz w:val="24"/>
          <w:szCs w:val="24"/>
        </w:rPr>
        <w:t>Co prawda już prawo rzymskie</w:t>
      </w:r>
      <w:r w:rsidR="00CD4D94" w:rsidRPr="00692C6D">
        <w:rPr>
          <w:rFonts w:ascii="Times New Roman" w:eastAsia="Calibri" w:hAnsi="Times New Roman" w:cs="Times New Roman"/>
          <w:sz w:val="24"/>
          <w:szCs w:val="24"/>
        </w:rPr>
        <w:t xml:space="preserve"> już ok. 118 roku p.n.e. </w:t>
      </w:r>
      <w:r w:rsidR="00CD4D94">
        <w:rPr>
          <w:rFonts w:ascii="Times New Roman" w:eastAsia="Calibri" w:hAnsi="Times New Roman" w:cs="Times New Roman"/>
          <w:sz w:val="24"/>
          <w:szCs w:val="24"/>
        </w:rPr>
        <w:t xml:space="preserve">przewidywało, że </w:t>
      </w:r>
      <w:r w:rsidR="00CD4D94" w:rsidRPr="00692C6D">
        <w:rPr>
          <w:rFonts w:ascii="Times New Roman" w:eastAsia="Calibri" w:hAnsi="Times New Roman" w:cs="Times New Roman"/>
          <w:sz w:val="24"/>
          <w:szCs w:val="24"/>
        </w:rPr>
        <w:t>kupiec nabywający majątek dłużnika, przekazywał kwotę za jaką kupił ów majątek wierzycielom dłużnika, których wierzytelności były zaspokajane proporcjonalnie do ich wartości</w:t>
      </w:r>
      <w:r w:rsidR="00CD4D94">
        <w:rPr>
          <w:rFonts w:ascii="Times New Roman" w:eastAsia="Calibri" w:hAnsi="Times New Roman" w:cs="Times New Roman"/>
          <w:sz w:val="24"/>
          <w:szCs w:val="24"/>
        </w:rPr>
        <w:t>, jednak zdecydowanie przeważała egzekucja indywidualna.</w:t>
      </w:r>
    </w:p>
    <w:p w:rsidR="00BA386E" w:rsidRDefault="00BA386E" w:rsidP="00CD4D94">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Odpowiedzialność za długi była przy tym częstokroć nie tylko odpowiedzialnością cywilnoprawną, ale zawierała również elementy odpowiedzialności karnej (jeszcze w XIX wiecznej Anglii za  długi groziło więzienie – por. twórczość Dickensa – nie tylko literatura prawnicza jest godna uwagi ;). W starożytności odpowiedzialność za długi miała z reguły natomiast charakter </w:t>
      </w:r>
      <w:proofErr w:type="spellStart"/>
      <w:r>
        <w:rPr>
          <w:rFonts w:ascii="Times New Roman" w:eastAsia="Calibri" w:hAnsi="Times New Roman" w:cs="Times New Roman"/>
          <w:sz w:val="24"/>
          <w:szCs w:val="24"/>
        </w:rPr>
        <w:t>baaaardzo</w:t>
      </w:r>
      <w:proofErr w:type="spellEnd"/>
      <w:r>
        <w:rPr>
          <w:rFonts w:ascii="Times New Roman" w:eastAsia="Calibri" w:hAnsi="Times New Roman" w:cs="Times New Roman"/>
          <w:sz w:val="24"/>
          <w:szCs w:val="24"/>
        </w:rPr>
        <w:t xml:space="preserve"> osobisty – po prostu dłużnikowi groziło sprzedanie w niewolę i to nierzadko wraz z całą rodziną. Z drugiej strony niewypłacalni dłużnicy od starożytności po średniowiecze, z nużącą regularnością wpadali na (w swoim mniemaniu zapewne dość oryginalny pomysł), że najprostszym sposobem na pozbycie się długów może być pozbycie </w:t>
      </w:r>
      <w:r>
        <w:rPr>
          <w:rFonts w:ascii="Times New Roman" w:eastAsia="Calibri" w:hAnsi="Times New Roman" w:cs="Times New Roman"/>
          <w:sz w:val="24"/>
          <w:szCs w:val="24"/>
        </w:rPr>
        <w:lastRenderedPageBreak/>
        <w:t>się … wierzycieli – wystarczy wspomnieć spisek Katyliny,</w:t>
      </w:r>
      <w:r w:rsidR="00BB7E62">
        <w:rPr>
          <w:rFonts w:ascii="Times New Roman" w:eastAsia="Calibri" w:hAnsi="Times New Roman" w:cs="Times New Roman"/>
          <w:sz w:val="24"/>
          <w:szCs w:val="24"/>
        </w:rPr>
        <w:t xml:space="preserve"> czy też</w:t>
      </w:r>
      <w:r>
        <w:rPr>
          <w:rFonts w:ascii="Times New Roman" w:eastAsia="Calibri" w:hAnsi="Times New Roman" w:cs="Times New Roman"/>
          <w:sz w:val="24"/>
          <w:szCs w:val="24"/>
        </w:rPr>
        <w:t xml:space="preserve"> kasatę zakonu templariuszy z inicjatywy kr</w:t>
      </w:r>
      <w:r w:rsidR="00BB7E62">
        <w:rPr>
          <w:rFonts w:ascii="Times New Roman" w:eastAsia="Calibri" w:hAnsi="Times New Roman" w:cs="Times New Roman"/>
          <w:sz w:val="24"/>
          <w:szCs w:val="24"/>
        </w:rPr>
        <w:t>óla Francji Filipa Pięknego</w:t>
      </w:r>
      <w:r>
        <w:rPr>
          <w:rFonts w:ascii="Times New Roman" w:eastAsia="Calibri" w:hAnsi="Times New Roman" w:cs="Times New Roman"/>
          <w:sz w:val="24"/>
          <w:szCs w:val="24"/>
        </w:rPr>
        <w:t xml:space="preserve">. </w:t>
      </w:r>
    </w:p>
    <w:p w:rsidR="00CD4D94" w:rsidRDefault="00CD4D94" w:rsidP="00CD4D94">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Konieczność wprowadzenia uregulowań stanowiących pierwowzór dzisiejszego prawa upadłościowego – regulujących postępowanie o charakterze egzekucji generalnej, nakierowane na zaspokojenie wszystkich wierzycieli niewypłacalnego dłużnika z całego jego majątku, w oparciu o zasady określone w przepisach prawa, pojawiła się wraz z intensyfikacją, w późnym średniowieczu, wymiany handlowej – zwiększeniu jej zasięgu i wolumenu obrotów poszczególnych kupców.  </w:t>
      </w:r>
    </w:p>
    <w:p w:rsidR="00420D2E" w:rsidRDefault="00CD4D94" w:rsidP="00234402">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okresie średniowiecza we Włoszech – stanowiących centrum ówczesnej wymiany handlowej – pojawiło się </w:t>
      </w:r>
      <w:r w:rsidR="00234402" w:rsidRPr="00692C6D">
        <w:rPr>
          <w:rFonts w:ascii="Times New Roman" w:eastAsia="Calibri" w:hAnsi="Times New Roman" w:cs="Times New Roman"/>
          <w:sz w:val="24"/>
          <w:szCs w:val="24"/>
        </w:rPr>
        <w:t>słowa „bankructwo”</w:t>
      </w:r>
      <w:r>
        <w:rPr>
          <w:rFonts w:ascii="Times New Roman" w:eastAsia="Calibri" w:hAnsi="Times New Roman" w:cs="Times New Roman"/>
          <w:sz w:val="24"/>
          <w:szCs w:val="24"/>
        </w:rPr>
        <w:t xml:space="preserve">. </w:t>
      </w:r>
      <w:r w:rsidR="00234402" w:rsidRPr="00692C6D">
        <w:rPr>
          <w:rFonts w:ascii="Times New Roman" w:eastAsia="Calibri" w:hAnsi="Times New Roman" w:cs="Times New Roman"/>
          <w:sz w:val="24"/>
          <w:szCs w:val="24"/>
        </w:rPr>
        <w:t xml:space="preserve">Akty prawne dotyczące niewypłacalności </w:t>
      </w:r>
      <w:r w:rsidR="00B44FCC">
        <w:rPr>
          <w:rFonts w:ascii="Times New Roman" w:eastAsia="Calibri" w:hAnsi="Times New Roman" w:cs="Times New Roman"/>
          <w:sz w:val="24"/>
          <w:szCs w:val="24"/>
        </w:rPr>
        <w:t>kup</w:t>
      </w:r>
      <w:r>
        <w:rPr>
          <w:rFonts w:ascii="Times New Roman" w:eastAsia="Calibri" w:hAnsi="Times New Roman" w:cs="Times New Roman"/>
          <w:sz w:val="24"/>
          <w:szCs w:val="24"/>
        </w:rPr>
        <w:t>ców</w:t>
      </w:r>
      <w:r w:rsidR="00234402" w:rsidRPr="00692C6D">
        <w:rPr>
          <w:rFonts w:ascii="Times New Roman" w:eastAsia="Calibri" w:hAnsi="Times New Roman" w:cs="Times New Roman"/>
          <w:sz w:val="24"/>
          <w:szCs w:val="24"/>
        </w:rPr>
        <w:t xml:space="preserve"> pojawiały się również w miastach hanzeatyckich oraz w prawie magdeburskim. Nowożytne prawo upadłościowe ukształtowało się jednak dopiero w XIX i na początku XX wieku</w:t>
      </w:r>
      <w:r>
        <w:rPr>
          <w:rFonts w:ascii="Times New Roman" w:eastAsia="Calibri" w:hAnsi="Times New Roman" w:cs="Times New Roman"/>
          <w:sz w:val="24"/>
          <w:szCs w:val="24"/>
        </w:rPr>
        <w:t xml:space="preserve">, wykazując ścisłe związki z burzliwym rozwojem </w:t>
      </w:r>
      <w:r w:rsidR="00BB7E62">
        <w:rPr>
          <w:rFonts w:ascii="Times New Roman" w:eastAsia="Calibri" w:hAnsi="Times New Roman" w:cs="Times New Roman"/>
          <w:sz w:val="24"/>
          <w:szCs w:val="24"/>
        </w:rPr>
        <w:t xml:space="preserve">gospodarczym, </w:t>
      </w:r>
      <w:r>
        <w:rPr>
          <w:rFonts w:ascii="Times New Roman" w:eastAsia="Calibri" w:hAnsi="Times New Roman" w:cs="Times New Roman"/>
          <w:sz w:val="24"/>
          <w:szCs w:val="24"/>
        </w:rPr>
        <w:t>spowodowanym rewolucją przemysłową i przejściem od ustroju feudalnego d</w:t>
      </w:r>
      <w:r w:rsidR="00BB7E62">
        <w:rPr>
          <w:rFonts w:ascii="Times New Roman" w:eastAsia="Calibri" w:hAnsi="Times New Roman" w:cs="Times New Roman"/>
          <w:sz w:val="24"/>
          <w:szCs w:val="24"/>
        </w:rPr>
        <w:t>o gospodarki kapitalistycznej</w:t>
      </w:r>
      <w:r w:rsidR="00BB7E62" w:rsidRPr="00BB7E62">
        <w:rPr>
          <w:rFonts w:ascii="Times New Roman" w:eastAsia="Calibri" w:hAnsi="Times New Roman" w:cs="Times New Roman"/>
          <w:sz w:val="24"/>
          <w:szCs w:val="24"/>
        </w:rPr>
        <w:t xml:space="preserve"> </w:t>
      </w:r>
      <w:r w:rsidR="00BB7E62">
        <w:rPr>
          <w:rFonts w:ascii="Times New Roman" w:eastAsia="Calibri" w:hAnsi="Times New Roman" w:cs="Times New Roman"/>
          <w:sz w:val="24"/>
          <w:szCs w:val="24"/>
        </w:rPr>
        <w:t xml:space="preserve">- </w:t>
      </w:r>
      <w:r w:rsidR="00BB7E62" w:rsidRPr="00692C6D">
        <w:rPr>
          <w:rFonts w:ascii="Times New Roman" w:eastAsia="Calibri" w:hAnsi="Times New Roman" w:cs="Times New Roman"/>
          <w:sz w:val="24"/>
          <w:szCs w:val="24"/>
        </w:rPr>
        <w:t>już od początków XIX wieku</w:t>
      </w:r>
      <w:r w:rsidR="00BB7E62">
        <w:rPr>
          <w:rFonts w:ascii="Times New Roman" w:eastAsia="Calibri" w:hAnsi="Times New Roman" w:cs="Times New Roman"/>
          <w:sz w:val="24"/>
          <w:szCs w:val="24"/>
        </w:rPr>
        <w:t xml:space="preserve"> rozwijało się ono w Stanach Zjednoczonych.</w:t>
      </w:r>
      <w:r>
        <w:rPr>
          <w:rFonts w:ascii="Times New Roman" w:eastAsia="Calibri" w:hAnsi="Times New Roman" w:cs="Times New Roman"/>
          <w:sz w:val="24"/>
          <w:szCs w:val="24"/>
        </w:rPr>
        <w:t xml:space="preserve"> </w:t>
      </w:r>
    </w:p>
    <w:p w:rsidR="00B85407" w:rsidRPr="00692C6D" w:rsidRDefault="00420D2E" w:rsidP="00B85407">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Początkowo kładziony przez prawodawców nacisk na pierwszeństwo interesów wierzycieli dłużnika i maksymalizację ich zaspokojenia, ustępuje przy tym stopniowo w wielu krajach koncepcji „drugiej szansy” i naciskowi na restrukturyzację zobowiązań upadłego i jego oddłużenie. </w:t>
      </w:r>
      <w:r w:rsidR="00B85407">
        <w:rPr>
          <w:rFonts w:ascii="Times New Roman" w:eastAsia="Calibri" w:hAnsi="Times New Roman" w:cs="Times New Roman"/>
          <w:sz w:val="24"/>
          <w:szCs w:val="24"/>
        </w:rPr>
        <w:t>Dlatego też</w:t>
      </w:r>
      <w:r w:rsidR="00B85407" w:rsidRPr="00692C6D">
        <w:rPr>
          <w:rFonts w:ascii="Times New Roman" w:eastAsia="Calibri" w:hAnsi="Times New Roman" w:cs="Times New Roman"/>
          <w:sz w:val="24"/>
          <w:szCs w:val="24"/>
        </w:rPr>
        <w:t xml:space="preserve"> wiele </w:t>
      </w:r>
      <w:proofErr w:type="spellStart"/>
      <w:r w:rsidR="00B85407" w:rsidRPr="00692C6D">
        <w:rPr>
          <w:rFonts w:ascii="Times New Roman" w:eastAsia="Calibri" w:hAnsi="Times New Roman" w:cs="Times New Roman"/>
          <w:sz w:val="24"/>
          <w:szCs w:val="24"/>
        </w:rPr>
        <w:t>ustawodawstw</w:t>
      </w:r>
      <w:proofErr w:type="spellEnd"/>
      <w:r w:rsidR="00B85407" w:rsidRPr="00692C6D">
        <w:rPr>
          <w:rFonts w:ascii="Times New Roman" w:eastAsia="Calibri" w:hAnsi="Times New Roman" w:cs="Times New Roman"/>
          <w:sz w:val="24"/>
          <w:szCs w:val="24"/>
        </w:rPr>
        <w:t xml:space="preserve"> (Niemcy, Francja, Włochy) posługuje się raczej pojęciem „prawo </w:t>
      </w:r>
      <w:proofErr w:type="spellStart"/>
      <w:r w:rsidR="00B85407" w:rsidRPr="00692C6D">
        <w:rPr>
          <w:rFonts w:ascii="Times New Roman" w:eastAsia="Calibri" w:hAnsi="Times New Roman" w:cs="Times New Roman"/>
          <w:sz w:val="24"/>
          <w:szCs w:val="24"/>
        </w:rPr>
        <w:t>insolwencyjne</w:t>
      </w:r>
      <w:proofErr w:type="spellEnd"/>
      <w:r w:rsidR="00B85407" w:rsidRPr="00692C6D">
        <w:rPr>
          <w:rFonts w:ascii="Times New Roman" w:eastAsia="Calibri" w:hAnsi="Times New Roman" w:cs="Times New Roman"/>
          <w:sz w:val="24"/>
          <w:szCs w:val="24"/>
        </w:rPr>
        <w:t>”, inaczej „prawo o niewypłacalności” rezygnując z tradycyjnych określeń „prawo upadłościowe” czy ”upadłość”, jako niosących wydźwięk pejoratywny i piętnujących przedsiębiorcę.</w:t>
      </w:r>
    </w:p>
    <w:p w:rsidR="00234402" w:rsidRDefault="00420D2E" w:rsidP="00234402">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Podkreślić należy </w:t>
      </w:r>
      <w:r w:rsidR="00B85407">
        <w:rPr>
          <w:rFonts w:ascii="Times New Roman" w:eastAsia="Calibri" w:hAnsi="Times New Roman" w:cs="Times New Roman"/>
          <w:sz w:val="24"/>
          <w:szCs w:val="24"/>
        </w:rPr>
        <w:t>również coraz powszechniejs</w:t>
      </w:r>
      <w:r w:rsidR="00BB7E62">
        <w:rPr>
          <w:rFonts w:ascii="Times New Roman" w:eastAsia="Calibri" w:hAnsi="Times New Roman" w:cs="Times New Roman"/>
          <w:sz w:val="24"/>
          <w:szCs w:val="24"/>
        </w:rPr>
        <w:t>z</w:t>
      </w:r>
      <w:r w:rsidR="00B85407">
        <w:rPr>
          <w:rFonts w:ascii="Times New Roman" w:eastAsia="Calibri" w:hAnsi="Times New Roman" w:cs="Times New Roman"/>
          <w:sz w:val="24"/>
          <w:szCs w:val="24"/>
        </w:rPr>
        <w:t>e</w:t>
      </w:r>
      <w:r>
        <w:rPr>
          <w:rFonts w:ascii="Times New Roman" w:eastAsia="Calibri" w:hAnsi="Times New Roman" w:cs="Times New Roman"/>
          <w:sz w:val="24"/>
          <w:szCs w:val="24"/>
        </w:rPr>
        <w:t xml:space="preserve"> rozszerzanie zakresu podmiotowego postępowania upadłościowego – poprzez objęcie </w:t>
      </w:r>
      <w:r w:rsidR="00BB7E62">
        <w:rPr>
          <w:rFonts w:ascii="Times New Roman" w:eastAsia="Calibri" w:hAnsi="Times New Roman" w:cs="Times New Roman"/>
          <w:sz w:val="24"/>
          <w:szCs w:val="24"/>
        </w:rPr>
        <w:t xml:space="preserve">nim </w:t>
      </w:r>
      <w:r>
        <w:rPr>
          <w:rFonts w:ascii="Times New Roman" w:eastAsia="Calibri" w:hAnsi="Times New Roman" w:cs="Times New Roman"/>
          <w:sz w:val="24"/>
          <w:szCs w:val="24"/>
        </w:rPr>
        <w:t>nie tylko – tradycyjnie – podmiotów prowadzących działalność gospodarczą (przedsiębiorców), ale również konsumentów (instytucja upadłości konsumenckiej).</w:t>
      </w:r>
    </w:p>
    <w:p w:rsidR="00420D2E" w:rsidRDefault="00420D2E" w:rsidP="00234402">
      <w:pPr>
        <w:spacing w:after="0" w:line="360" w:lineRule="auto"/>
        <w:ind w:firstLine="360"/>
        <w:jc w:val="both"/>
        <w:rPr>
          <w:rFonts w:ascii="Times New Roman" w:eastAsia="Calibri" w:hAnsi="Times New Roman" w:cs="Times New Roman"/>
          <w:sz w:val="24"/>
          <w:szCs w:val="24"/>
        </w:rPr>
      </w:pPr>
    </w:p>
    <w:p w:rsidR="00420D2E" w:rsidRPr="00420D2E" w:rsidRDefault="00BB7E62" w:rsidP="00BB7E62">
      <w:pPr>
        <w:pStyle w:val="Akapitzlist"/>
        <w:numPr>
          <w:ilvl w:val="0"/>
          <w:numId w:val="4"/>
        </w:numPr>
        <w:spacing w:after="0" w:line="360" w:lineRule="auto"/>
        <w:ind w:left="426" w:hanging="426"/>
        <w:jc w:val="both"/>
        <w:rPr>
          <w:rFonts w:ascii="Times New Roman" w:eastAsia="Calibri" w:hAnsi="Times New Roman" w:cs="Times New Roman"/>
          <w:b/>
          <w:sz w:val="24"/>
          <w:szCs w:val="24"/>
        </w:rPr>
      </w:pPr>
      <w:r>
        <w:rPr>
          <w:rFonts w:ascii="Times New Roman" w:eastAsia="Calibri" w:hAnsi="Times New Roman" w:cs="Times New Roman"/>
          <w:b/>
          <w:sz w:val="24"/>
          <w:szCs w:val="24"/>
        </w:rPr>
        <w:t>Współczesne podejścia</w:t>
      </w:r>
      <w:r w:rsidR="00420D2E" w:rsidRPr="00420D2E">
        <w:rPr>
          <w:rFonts w:ascii="Times New Roman" w:eastAsia="Calibri" w:hAnsi="Times New Roman" w:cs="Times New Roman"/>
          <w:b/>
          <w:sz w:val="24"/>
          <w:szCs w:val="24"/>
        </w:rPr>
        <w:t xml:space="preserve"> do funkcji prawa upadłościowego –</w:t>
      </w:r>
      <w:r>
        <w:rPr>
          <w:rFonts w:ascii="Times New Roman" w:eastAsia="Calibri" w:hAnsi="Times New Roman" w:cs="Times New Roman"/>
          <w:b/>
          <w:sz w:val="24"/>
          <w:szCs w:val="24"/>
        </w:rPr>
        <w:t xml:space="preserve"> przykłady</w:t>
      </w:r>
    </w:p>
    <w:p w:rsidR="00420D2E" w:rsidRPr="00692C6D" w:rsidRDefault="00420D2E" w:rsidP="00420D2E">
      <w:pPr>
        <w:spacing w:after="0" w:line="360" w:lineRule="auto"/>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ab/>
      </w:r>
    </w:p>
    <w:p w:rsidR="00420D2E" w:rsidRPr="00692C6D" w:rsidRDefault="00420D2E" w:rsidP="00420D2E">
      <w:pPr>
        <w:spacing w:after="0" w:line="360" w:lineRule="auto"/>
        <w:ind w:firstLine="708"/>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W spotykanych obecnie na świecie systemach postępowań upadłościowych wyróżnić można zasadniczo dwa różne podejścia co do funkcji postępowania upadłościowego w razie niewypłacalności dłużnika. W pierwszym systemie prawodawcy za podstawową funkcję prawa upadłościowego uznają jak najdalej idącą ochronę wierzycieli i dążenie do spłacenia ich</w:t>
      </w:r>
      <w:r w:rsidR="00BB7E62">
        <w:rPr>
          <w:rFonts w:ascii="Times New Roman" w:eastAsia="Calibri" w:hAnsi="Times New Roman" w:cs="Times New Roman"/>
          <w:sz w:val="24"/>
          <w:szCs w:val="24"/>
        </w:rPr>
        <w:t xml:space="preserve"> w</w:t>
      </w:r>
      <w:r w:rsidRPr="00692C6D">
        <w:rPr>
          <w:rFonts w:ascii="Times New Roman" w:eastAsia="Calibri" w:hAnsi="Times New Roman" w:cs="Times New Roman"/>
          <w:sz w:val="24"/>
          <w:szCs w:val="24"/>
        </w:rPr>
        <w:t xml:space="preserve"> możliwie jak najwyższym stopniu. Takie podejście dominuje m.in. w prawie Wielkiej </w:t>
      </w:r>
      <w:r w:rsidRPr="00692C6D">
        <w:rPr>
          <w:rFonts w:ascii="Times New Roman" w:eastAsia="Calibri" w:hAnsi="Times New Roman" w:cs="Times New Roman"/>
          <w:sz w:val="24"/>
          <w:szCs w:val="24"/>
        </w:rPr>
        <w:lastRenderedPageBreak/>
        <w:t xml:space="preserve">Brytanii, Szwecji, </w:t>
      </w:r>
      <w:r w:rsidR="00BB7E62">
        <w:rPr>
          <w:rFonts w:ascii="Times New Roman" w:eastAsia="Calibri" w:hAnsi="Times New Roman" w:cs="Times New Roman"/>
          <w:sz w:val="24"/>
          <w:szCs w:val="24"/>
        </w:rPr>
        <w:t xml:space="preserve">Niemiec, </w:t>
      </w:r>
      <w:r w:rsidRPr="00692C6D">
        <w:rPr>
          <w:rFonts w:ascii="Times New Roman" w:eastAsia="Calibri" w:hAnsi="Times New Roman" w:cs="Times New Roman"/>
          <w:sz w:val="24"/>
          <w:szCs w:val="24"/>
        </w:rPr>
        <w:t>Irlandii i Holandii. W drugim systemie prawodawcy stawiają na pierwszym miejscu interes dłużnika, zgodnie z koncepcją „nowego początku”, kładąc nacisk na próby ratowania przedsiębiorstwa, nawet kosztem wierzycieli. Za podstawową funkcją prawa upadłościowego, w tym systemie uznawana jest zatem funkcja sanacyjna i oddłużeniowa. Do stosujących go państw zaliczyć można m. in. Francję, Belgię, Luksemburg, H</w:t>
      </w:r>
      <w:r w:rsidR="00BB7E62">
        <w:rPr>
          <w:rFonts w:ascii="Times New Roman" w:eastAsia="Calibri" w:hAnsi="Times New Roman" w:cs="Times New Roman"/>
          <w:sz w:val="24"/>
          <w:szCs w:val="24"/>
        </w:rPr>
        <w:t>iszpanię</w:t>
      </w:r>
      <w:r w:rsidRPr="00692C6D">
        <w:rPr>
          <w:rFonts w:ascii="Times New Roman" w:eastAsia="Calibri" w:hAnsi="Times New Roman" w:cs="Times New Roman"/>
          <w:sz w:val="24"/>
          <w:szCs w:val="24"/>
        </w:rPr>
        <w:t xml:space="preserve">, Portugalię, Grecję i Włochy. </w:t>
      </w:r>
    </w:p>
    <w:p w:rsidR="00420D2E" w:rsidRPr="00692C6D" w:rsidRDefault="00420D2E" w:rsidP="00420D2E">
      <w:pPr>
        <w:spacing w:after="0" w:line="360" w:lineRule="auto"/>
        <w:ind w:firstLine="708"/>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 xml:space="preserve">Funkcja sanacyjna i oddłużeniowa prawa upadłościowego </w:t>
      </w:r>
      <w:r w:rsidR="00BB7E62">
        <w:rPr>
          <w:rFonts w:ascii="Times New Roman" w:eastAsia="Calibri" w:hAnsi="Times New Roman" w:cs="Times New Roman"/>
          <w:sz w:val="24"/>
          <w:szCs w:val="24"/>
        </w:rPr>
        <w:t xml:space="preserve">bardzo mocno zaznaczona jest </w:t>
      </w:r>
      <w:r w:rsidRPr="00692C6D">
        <w:rPr>
          <w:rFonts w:ascii="Times New Roman" w:eastAsia="Calibri" w:hAnsi="Times New Roman" w:cs="Times New Roman"/>
          <w:sz w:val="24"/>
          <w:szCs w:val="24"/>
        </w:rPr>
        <w:t>w systemie prawnym Stanów Zjednoczonych.</w:t>
      </w:r>
      <w:r w:rsidRPr="00692C6D">
        <w:rPr>
          <w:rFonts w:ascii="Times New Roman" w:eastAsia="Calibri" w:hAnsi="Times New Roman" w:cs="Times New Roman"/>
          <w:b/>
          <w:sz w:val="24"/>
          <w:szCs w:val="24"/>
        </w:rPr>
        <w:t xml:space="preserve"> </w:t>
      </w:r>
      <w:r w:rsidRPr="00692C6D">
        <w:rPr>
          <w:rFonts w:ascii="Times New Roman" w:eastAsia="Calibri" w:hAnsi="Times New Roman" w:cs="Times New Roman"/>
          <w:sz w:val="24"/>
          <w:szCs w:val="24"/>
        </w:rPr>
        <w:t xml:space="preserve">Przepisy federalnej </w:t>
      </w:r>
      <w:proofErr w:type="spellStart"/>
      <w:r w:rsidRPr="00692C6D">
        <w:rPr>
          <w:rFonts w:ascii="Times New Roman" w:eastAsia="Calibri" w:hAnsi="Times New Roman" w:cs="Times New Roman"/>
          <w:i/>
          <w:sz w:val="24"/>
          <w:szCs w:val="24"/>
        </w:rPr>
        <w:t>Bancruptcy</w:t>
      </w:r>
      <w:proofErr w:type="spellEnd"/>
      <w:r w:rsidRPr="00692C6D">
        <w:rPr>
          <w:rFonts w:ascii="Times New Roman" w:eastAsia="Calibri" w:hAnsi="Times New Roman" w:cs="Times New Roman"/>
          <w:i/>
          <w:sz w:val="24"/>
          <w:szCs w:val="24"/>
        </w:rPr>
        <w:t xml:space="preserve"> Reform </w:t>
      </w:r>
      <w:proofErr w:type="spellStart"/>
      <w:r w:rsidRPr="00692C6D">
        <w:rPr>
          <w:rFonts w:ascii="Times New Roman" w:eastAsia="Calibri" w:hAnsi="Times New Roman" w:cs="Times New Roman"/>
          <w:i/>
          <w:sz w:val="24"/>
          <w:szCs w:val="24"/>
        </w:rPr>
        <w:t>Act</w:t>
      </w:r>
      <w:proofErr w:type="spellEnd"/>
      <w:r w:rsidRPr="00692C6D">
        <w:rPr>
          <w:rFonts w:ascii="Times New Roman" w:eastAsia="Calibri" w:hAnsi="Times New Roman" w:cs="Times New Roman"/>
          <w:sz w:val="24"/>
          <w:szCs w:val="24"/>
        </w:rPr>
        <w:t xml:space="preserve"> z dnia 6 listopada 1978 r., znowelizowanej w 1984 r., przewidywały dwa rodzaje postępowania, zarówno postępowanie likwidacyjne (</w:t>
      </w:r>
      <w:proofErr w:type="spellStart"/>
      <w:r w:rsidRPr="00692C6D">
        <w:rPr>
          <w:rFonts w:ascii="Times New Roman" w:eastAsia="Calibri" w:hAnsi="Times New Roman" w:cs="Times New Roman"/>
          <w:i/>
          <w:sz w:val="24"/>
          <w:szCs w:val="24"/>
        </w:rPr>
        <w:t>discharge</w:t>
      </w:r>
      <w:proofErr w:type="spellEnd"/>
      <w:r w:rsidRPr="00692C6D">
        <w:rPr>
          <w:rFonts w:ascii="Times New Roman" w:eastAsia="Calibri" w:hAnsi="Times New Roman" w:cs="Times New Roman"/>
          <w:sz w:val="24"/>
          <w:szCs w:val="24"/>
        </w:rPr>
        <w:t>), jak i ugodowe (</w:t>
      </w:r>
      <w:proofErr w:type="spellStart"/>
      <w:r w:rsidRPr="00692C6D">
        <w:rPr>
          <w:rFonts w:ascii="Times New Roman" w:eastAsia="Calibri" w:hAnsi="Times New Roman" w:cs="Times New Roman"/>
          <w:i/>
          <w:sz w:val="24"/>
          <w:szCs w:val="24"/>
        </w:rPr>
        <w:t>adjustment</w:t>
      </w:r>
      <w:proofErr w:type="spellEnd"/>
      <w:r w:rsidRPr="00692C6D">
        <w:rPr>
          <w:rFonts w:ascii="Times New Roman" w:eastAsia="Calibri" w:hAnsi="Times New Roman" w:cs="Times New Roman"/>
          <w:i/>
          <w:sz w:val="24"/>
          <w:szCs w:val="24"/>
        </w:rPr>
        <w:t xml:space="preserve"> of </w:t>
      </w:r>
      <w:proofErr w:type="spellStart"/>
      <w:r w:rsidRPr="00692C6D">
        <w:rPr>
          <w:rFonts w:ascii="Times New Roman" w:eastAsia="Calibri" w:hAnsi="Times New Roman" w:cs="Times New Roman"/>
          <w:i/>
          <w:sz w:val="24"/>
          <w:szCs w:val="24"/>
        </w:rPr>
        <w:t>debts</w:t>
      </w:r>
      <w:proofErr w:type="spellEnd"/>
      <w:r w:rsidRPr="00692C6D">
        <w:rPr>
          <w:rFonts w:ascii="Times New Roman" w:eastAsia="Calibri" w:hAnsi="Times New Roman" w:cs="Times New Roman"/>
          <w:sz w:val="24"/>
          <w:szCs w:val="24"/>
        </w:rPr>
        <w:t>). Wyboru rodzaju postępowania dokonywał dłużnik, z tym zastrzeżeniem, iż dłużnicy nieposiadający dużego majątku, ale mający znaczne dochody, nie mogli wybierać postępowania likwidacyjnego, lecz  mogli prowadzić tylko postępowanie ugodowe. Zaznaczyć należy, że również po uchwaleniu przez Kongres w 2005 r. znowelizowanej wersji ustawy o zapobieganiu nadużyciom przy upadłości oraz o ochronie konsumentów</w:t>
      </w:r>
      <w:r w:rsidRPr="00692C6D">
        <w:rPr>
          <w:rFonts w:ascii="Times New Roman" w:eastAsia="Calibri" w:hAnsi="Times New Roman" w:cs="Times New Roman"/>
          <w:i/>
          <w:sz w:val="24"/>
          <w:szCs w:val="24"/>
        </w:rPr>
        <w:t xml:space="preserve"> </w:t>
      </w:r>
      <w:r w:rsidRPr="00692C6D">
        <w:rPr>
          <w:rFonts w:ascii="Times New Roman" w:eastAsia="Calibri" w:hAnsi="Times New Roman" w:cs="Times New Roman"/>
          <w:sz w:val="24"/>
          <w:szCs w:val="24"/>
        </w:rPr>
        <w:t>(</w:t>
      </w:r>
      <w:proofErr w:type="spellStart"/>
      <w:r w:rsidRPr="00692C6D">
        <w:rPr>
          <w:rFonts w:ascii="Times New Roman" w:eastAsia="Calibri" w:hAnsi="Times New Roman" w:cs="Times New Roman"/>
          <w:i/>
          <w:sz w:val="24"/>
          <w:szCs w:val="24"/>
        </w:rPr>
        <w:t>Bancruptcy</w:t>
      </w:r>
      <w:proofErr w:type="spellEnd"/>
      <w:r w:rsidRPr="00692C6D">
        <w:rPr>
          <w:rFonts w:ascii="Times New Roman" w:eastAsia="Calibri" w:hAnsi="Times New Roman" w:cs="Times New Roman"/>
          <w:i/>
          <w:sz w:val="24"/>
          <w:szCs w:val="24"/>
        </w:rPr>
        <w:t xml:space="preserve"> </w:t>
      </w:r>
      <w:proofErr w:type="spellStart"/>
      <w:r w:rsidRPr="00692C6D">
        <w:rPr>
          <w:rFonts w:ascii="Times New Roman" w:eastAsia="Calibri" w:hAnsi="Times New Roman" w:cs="Times New Roman"/>
          <w:i/>
          <w:sz w:val="24"/>
          <w:szCs w:val="24"/>
        </w:rPr>
        <w:t>Abuse</w:t>
      </w:r>
      <w:proofErr w:type="spellEnd"/>
      <w:r w:rsidRPr="00692C6D">
        <w:rPr>
          <w:rFonts w:ascii="Times New Roman" w:eastAsia="Calibri" w:hAnsi="Times New Roman" w:cs="Times New Roman"/>
          <w:i/>
          <w:sz w:val="24"/>
          <w:szCs w:val="24"/>
        </w:rPr>
        <w:t xml:space="preserve"> </w:t>
      </w:r>
      <w:proofErr w:type="spellStart"/>
      <w:r w:rsidRPr="00692C6D">
        <w:rPr>
          <w:rFonts w:ascii="Times New Roman" w:eastAsia="Calibri" w:hAnsi="Times New Roman" w:cs="Times New Roman"/>
          <w:i/>
          <w:sz w:val="24"/>
          <w:szCs w:val="24"/>
        </w:rPr>
        <w:t>Prevention</w:t>
      </w:r>
      <w:proofErr w:type="spellEnd"/>
      <w:r w:rsidRPr="00692C6D">
        <w:rPr>
          <w:rFonts w:ascii="Times New Roman" w:eastAsia="Calibri" w:hAnsi="Times New Roman" w:cs="Times New Roman"/>
          <w:i/>
          <w:sz w:val="24"/>
          <w:szCs w:val="24"/>
        </w:rPr>
        <w:t xml:space="preserve"> and Consumer </w:t>
      </w:r>
      <w:proofErr w:type="spellStart"/>
      <w:r w:rsidRPr="00692C6D">
        <w:rPr>
          <w:rFonts w:ascii="Times New Roman" w:eastAsia="Calibri" w:hAnsi="Times New Roman" w:cs="Times New Roman"/>
          <w:i/>
          <w:sz w:val="24"/>
          <w:szCs w:val="24"/>
        </w:rPr>
        <w:t>Protection</w:t>
      </w:r>
      <w:proofErr w:type="spellEnd"/>
      <w:r w:rsidRPr="00692C6D">
        <w:rPr>
          <w:rFonts w:ascii="Times New Roman" w:eastAsia="Calibri" w:hAnsi="Times New Roman" w:cs="Times New Roman"/>
          <w:i/>
          <w:sz w:val="24"/>
          <w:szCs w:val="24"/>
        </w:rPr>
        <w:t xml:space="preserve"> </w:t>
      </w:r>
      <w:proofErr w:type="spellStart"/>
      <w:r w:rsidRPr="00692C6D">
        <w:rPr>
          <w:rFonts w:ascii="Times New Roman" w:eastAsia="Calibri" w:hAnsi="Times New Roman" w:cs="Times New Roman"/>
          <w:i/>
          <w:sz w:val="24"/>
          <w:szCs w:val="24"/>
        </w:rPr>
        <w:t>Act</w:t>
      </w:r>
      <w:proofErr w:type="spellEnd"/>
      <w:r w:rsidRPr="00692C6D">
        <w:rPr>
          <w:rFonts w:ascii="Times New Roman" w:eastAsia="Calibri" w:hAnsi="Times New Roman" w:cs="Times New Roman"/>
          <w:sz w:val="24"/>
          <w:szCs w:val="24"/>
        </w:rPr>
        <w:t>), prawo upadłościowe Stanów Zjednoczonych uznawane jest za bardzo elastyczne i przyjazne dłużnikowi.</w:t>
      </w:r>
    </w:p>
    <w:p w:rsidR="00420D2E" w:rsidRPr="00692C6D" w:rsidRDefault="00420D2E" w:rsidP="00420D2E">
      <w:pPr>
        <w:spacing w:after="0" w:line="360" w:lineRule="auto"/>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ab/>
        <w:t>Likwidac</w:t>
      </w:r>
      <w:r w:rsidR="00BB7E62">
        <w:rPr>
          <w:rFonts w:ascii="Times New Roman" w:eastAsia="Calibri" w:hAnsi="Times New Roman" w:cs="Times New Roman"/>
          <w:sz w:val="24"/>
          <w:szCs w:val="24"/>
        </w:rPr>
        <w:t xml:space="preserve">ja upadłościowa określana jest </w:t>
      </w:r>
      <w:r w:rsidRPr="00692C6D">
        <w:rPr>
          <w:rFonts w:ascii="Times New Roman" w:eastAsia="Calibri" w:hAnsi="Times New Roman" w:cs="Times New Roman"/>
          <w:sz w:val="24"/>
          <w:szCs w:val="24"/>
        </w:rPr>
        <w:t xml:space="preserve">w prawie upadłościowym Stanów Zjednoczonych jako proste bankructwo i ma na celu spieniężenie majątku upadłego dłużnika i rozdzielenie uzyskanych w ten sposób funduszy pomiędzy jego wierzycieli. W postępowaniu upadłościowym nie odbiera się niewypłacalnemu przedsiębiorcy prawa zarządu nad swoim majątkiem, gdyż głównym celem upadłości przedsiębiorstwa jest sanacja (naprawa) przedsiębiorstwa. Dopiero w efekcie restrukturyzacji przedsiębiorstwa następuje zaspokojenie wierzycieli. Kładzie się zatem nacisk na to, aby obok zabezpieczenia interesów wierzycieli upadłego dłużnika i należytego podziału kwot pieniężnych uzyskanych ze sprzedaży jego majątku, zapewnić możliwość efektywnego rozwiązywania problemów zadłużonych podmiotów, w taki sposób, aby niewypłacalni dłużnicy mogli utrzymać egzystencję gospodarczą, przy jednoczesnym jak największym zaspokojeniu wierzycieli, jako tzw. zasada </w:t>
      </w:r>
      <w:proofErr w:type="spellStart"/>
      <w:r w:rsidRPr="00692C6D">
        <w:rPr>
          <w:rFonts w:ascii="Times New Roman" w:eastAsia="Calibri" w:hAnsi="Times New Roman" w:cs="Times New Roman"/>
          <w:i/>
          <w:sz w:val="24"/>
          <w:szCs w:val="24"/>
        </w:rPr>
        <w:t>fresh</w:t>
      </w:r>
      <w:proofErr w:type="spellEnd"/>
      <w:r w:rsidRPr="00692C6D">
        <w:rPr>
          <w:rFonts w:ascii="Times New Roman" w:eastAsia="Calibri" w:hAnsi="Times New Roman" w:cs="Times New Roman"/>
          <w:i/>
          <w:sz w:val="24"/>
          <w:szCs w:val="24"/>
        </w:rPr>
        <w:t xml:space="preserve"> start</w:t>
      </w:r>
      <w:r w:rsidRPr="00692C6D">
        <w:rPr>
          <w:rFonts w:ascii="Times New Roman" w:eastAsia="Calibri" w:hAnsi="Times New Roman" w:cs="Times New Roman"/>
          <w:sz w:val="24"/>
          <w:szCs w:val="24"/>
        </w:rPr>
        <w:t xml:space="preserve">. </w:t>
      </w:r>
    </w:p>
    <w:p w:rsidR="00420D2E" w:rsidRPr="00692C6D" w:rsidRDefault="00420D2E" w:rsidP="00420D2E">
      <w:pPr>
        <w:spacing w:after="0" w:line="360" w:lineRule="auto"/>
        <w:ind w:firstLine="708"/>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 xml:space="preserve">W Austrii następowała stopniowa ewolucja przyjętego w ustawie z dnia 10 grudnia 1914 r. </w:t>
      </w:r>
      <w:proofErr w:type="spellStart"/>
      <w:r w:rsidRPr="00692C6D">
        <w:rPr>
          <w:rFonts w:ascii="Times New Roman" w:eastAsia="Calibri" w:hAnsi="Times New Roman" w:cs="Times New Roman"/>
          <w:i/>
          <w:sz w:val="24"/>
          <w:szCs w:val="24"/>
        </w:rPr>
        <w:t>Konkursordnung</w:t>
      </w:r>
      <w:proofErr w:type="spellEnd"/>
      <w:r w:rsidRPr="00692C6D">
        <w:rPr>
          <w:rFonts w:ascii="Times New Roman" w:eastAsia="Calibri" w:hAnsi="Times New Roman" w:cs="Times New Roman"/>
          <w:sz w:val="24"/>
          <w:szCs w:val="24"/>
        </w:rPr>
        <w:t xml:space="preserve"> (Cesarskie Rozporządzenie o upadłości) modelu</w:t>
      </w:r>
      <w:r w:rsidRPr="00692C6D">
        <w:rPr>
          <w:rFonts w:ascii="Times New Roman" w:eastAsia="Calibri" w:hAnsi="Times New Roman" w:cs="Times New Roman"/>
          <w:b/>
          <w:sz w:val="24"/>
          <w:szCs w:val="24"/>
        </w:rPr>
        <w:t xml:space="preserve"> </w:t>
      </w:r>
      <w:r w:rsidRPr="00692C6D">
        <w:rPr>
          <w:rFonts w:ascii="Times New Roman" w:eastAsia="Calibri" w:hAnsi="Times New Roman" w:cs="Times New Roman"/>
          <w:sz w:val="24"/>
          <w:szCs w:val="24"/>
        </w:rPr>
        <w:t>postępowania.</w:t>
      </w:r>
      <w:r w:rsidRPr="00692C6D">
        <w:rPr>
          <w:rFonts w:ascii="Times New Roman" w:eastAsia="Calibri" w:hAnsi="Times New Roman" w:cs="Times New Roman"/>
          <w:sz w:val="24"/>
          <w:szCs w:val="24"/>
          <w:highlight w:val="yellow"/>
        </w:rPr>
        <w:t xml:space="preserve"> </w:t>
      </w:r>
      <w:r w:rsidRPr="00692C6D">
        <w:rPr>
          <w:rFonts w:ascii="Times New Roman" w:eastAsia="Calibri" w:hAnsi="Times New Roman" w:cs="Times New Roman"/>
          <w:sz w:val="24"/>
          <w:szCs w:val="24"/>
        </w:rPr>
        <w:t xml:space="preserve">Kolejne nowelizacje uwzględniały rozwiązania umożliwiające sanacje i restrukturyzację przedsiębiorstwa upadłego, jego utrzymanie stało się jednym z podstawowych celów w </w:t>
      </w:r>
      <w:r w:rsidRPr="00692C6D">
        <w:rPr>
          <w:rFonts w:ascii="Times New Roman" w:eastAsia="Calibri" w:hAnsi="Times New Roman" w:cs="Times New Roman"/>
          <w:sz w:val="24"/>
          <w:szCs w:val="24"/>
        </w:rPr>
        <w:lastRenderedPageBreak/>
        <w:t>postępowaniu upadłościowym. Ustawy te przestały obowiązywać 1 lipca 2007 r., kiedy weszło w życie nowe prawo upadłościowe (</w:t>
      </w:r>
      <w:proofErr w:type="spellStart"/>
      <w:r w:rsidRPr="00692C6D">
        <w:rPr>
          <w:rFonts w:ascii="Times New Roman" w:eastAsia="Calibri" w:hAnsi="Times New Roman" w:cs="Times New Roman"/>
          <w:i/>
          <w:sz w:val="24"/>
          <w:szCs w:val="24"/>
        </w:rPr>
        <w:t>Insolvenzrechtsanderungsgesetz</w:t>
      </w:r>
      <w:proofErr w:type="spellEnd"/>
      <w:r w:rsidRPr="00692C6D">
        <w:rPr>
          <w:rFonts w:ascii="Times New Roman" w:eastAsia="Calibri" w:hAnsi="Times New Roman" w:cs="Times New Roman"/>
          <w:sz w:val="24"/>
          <w:szCs w:val="24"/>
        </w:rPr>
        <w:t>).</w:t>
      </w:r>
    </w:p>
    <w:p w:rsidR="00420D2E" w:rsidRPr="00692C6D" w:rsidRDefault="00420D2E" w:rsidP="00420D2E">
      <w:pPr>
        <w:spacing w:after="0" w:line="360" w:lineRule="auto"/>
        <w:ind w:firstLine="708"/>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W Niemczech,</w:t>
      </w:r>
      <w:r w:rsidRPr="00692C6D">
        <w:rPr>
          <w:rFonts w:ascii="Times New Roman" w:eastAsia="Calibri" w:hAnsi="Times New Roman" w:cs="Times New Roman"/>
          <w:b/>
          <w:sz w:val="24"/>
          <w:szCs w:val="24"/>
        </w:rPr>
        <w:t xml:space="preserve"> </w:t>
      </w:r>
      <w:r w:rsidRPr="00692C6D">
        <w:rPr>
          <w:rFonts w:ascii="Times New Roman" w:eastAsia="Calibri" w:hAnsi="Times New Roman" w:cs="Times New Roman"/>
          <w:sz w:val="24"/>
          <w:szCs w:val="24"/>
        </w:rPr>
        <w:t xml:space="preserve">uchwalona przez Bundestag 5 października 1994 r. ustawa - Prawo </w:t>
      </w:r>
      <w:proofErr w:type="spellStart"/>
      <w:r w:rsidRPr="00692C6D">
        <w:rPr>
          <w:rFonts w:ascii="Times New Roman" w:eastAsia="Calibri" w:hAnsi="Times New Roman" w:cs="Times New Roman"/>
          <w:sz w:val="24"/>
          <w:szCs w:val="24"/>
        </w:rPr>
        <w:t>insolwencyjne</w:t>
      </w:r>
      <w:proofErr w:type="spellEnd"/>
      <w:r w:rsidRPr="00692C6D">
        <w:rPr>
          <w:rFonts w:ascii="Times New Roman" w:eastAsia="Calibri" w:hAnsi="Times New Roman" w:cs="Times New Roman"/>
          <w:i/>
          <w:sz w:val="24"/>
          <w:szCs w:val="24"/>
        </w:rPr>
        <w:t xml:space="preserve"> </w:t>
      </w:r>
      <w:r w:rsidRPr="00692C6D">
        <w:rPr>
          <w:rFonts w:ascii="Times New Roman" w:eastAsia="Calibri" w:hAnsi="Times New Roman" w:cs="Times New Roman"/>
          <w:sz w:val="24"/>
          <w:szCs w:val="24"/>
        </w:rPr>
        <w:t>(</w:t>
      </w:r>
      <w:proofErr w:type="spellStart"/>
      <w:r w:rsidRPr="00692C6D">
        <w:rPr>
          <w:rFonts w:ascii="Times New Roman" w:eastAsia="Calibri" w:hAnsi="Times New Roman" w:cs="Times New Roman"/>
          <w:i/>
          <w:sz w:val="24"/>
          <w:szCs w:val="24"/>
        </w:rPr>
        <w:t>Insolvenzordnung</w:t>
      </w:r>
      <w:proofErr w:type="spellEnd"/>
      <w:r w:rsidRPr="00692C6D">
        <w:rPr>
          <w:rFonts w:ascii="Times New Roman" w:eastAsia="Calibri" w:hAnsi="Times New Roman" w:cs="Times New Roman"/>
          <w:i/>
          <w:sz w:val="24"/>
          <w:szCs w:val="24"/>
        </w:rPr>
        <w:t xml:space="preserve">, </w:t>
      </w:r>
      <w:r w:rsidRPr="00692C6D">
        <w:rPr>
          <w:rFonts w:ascii="Times New Roman" w:eastAsia="Calibri" w:hAnsi="Times New Roman" w:cs="Times New Roman"/>
          <w:sz w:val="24"/>
          <w:szCs w:val="24"/>
        </w:rPr>
        <w:t xml:space="preserve">dalej jako </w:t>
      </w:r>
      <w:proofErr w:type="spellStart"/>
      <w:r w:rsidRPr="00692C6D">
        <w:rPr>
          <w:rFonts w:ascii="Times New Roman" w:eastAsia="Calibri" w:hAnsi="Times New Roman" w:cs="Times New Roman"/>
          <w:sz w:val="24"/>
          <w:szCs w:val="24"/>
        </w:rPr>
        <w:t>InsO</w:t>
      </w:r>
      <w:proofErr w:type="spellEnd"/>
      <w:r w:rsidRPr="00692C6D">
        <w:rPr>
          <w:rFonts w:ascii="Times New Roman" w:eastAsia="Calibri" w:hAnsi="Times New Roman" w:cs="Times New Roman"/>
          <w:sz w:val="24"/>
          <w:szCs w:val="24"/>
        </w:rPr>
        <w:t xml:space="preserve">), weszła (z wyjątkami) w życie 1 stycznia 1999 r. i zastąpiła dwie poprzednio obowiązujące ustawy: z dnia 10 lutego 1877 r. </w:t>
      </w:r>
      <w:proofErr w:type="spellStart"/>
      <w:r w:rsidRPr="00692C6D">
        <w:rPr>
          <w:rFonts w:ascii="Times New Roman" w:eastAsia="Calibri" w:hAnsi="Times New Roman" w:cs="Times New Roman"/>
          <w:i/>
          <w:sz w:val="24"/>
          <w:szCs w:val="24"/>
        </w:rPr>
        <w:t>Konkursordnung</w:t>
      </w:r>
      <w:proofErr w:type="spellEnd"/>
      <w:r w:rsidRPr="00692C6D">
        <w:rPr>
          <w:rFonts w:ascii="Times New Roman" w:eastAsia="Calibri" w:hAnsi="Times New Roman" w:cs="Times New Roman"/>
          <w:sz w:val="24"/>
          <w:szCs w:val="24"/>
        </w:rPr>
        <w:t xml:space="preserve"> (Prawo upadłościowe) oraz ustawę z </w:t>
      </w:r>
      <w:r w:rsidR="00BB7E62">
        <w:rPr>
          <w:rFonts w:ascii="Times New Roman" w:eastAsia="Calibri" w:hAnsi="Times New Roman" w:cs="Times New Roman"/>
          <w:sz w:val="24"/>
          <w:szCs w:val="24"/>
        </w:rPr>
        <w:t xml:space="preserve">dnia </w:t>
      </w:r>
      <w:r w:rsidRPr="00692C6D">
        <w:rPr>
          <w:rFonts w:ascii="Times New Roman" w:eastAsia="Calibri" w:hAnsi="Times New Roman" w:cs="Times New Roman"/>
          <w:sz w:val="24"/>
          <w:szCs w:val="24"/>
        </w:rPr>
        <w:t xml:space="preserve">26 lutego 1935 r. </w:t>
      </w:r>
      <w:proofErr w:type="spellStart"/>
      <w:r w:rsidRPr="00692C6D">
        <w:rPr>
          <w:rFonts w:ascii="Times New Roman" w:eastAsia="Calibri" w:hAnsi="Times New Roman" w:cs="Times New Roman"/>
          <w:i/>
          <w:sz w:val="24"/>
          <w:szCs w:val="24"/>
        </w:rPr>
        <w:t>Vergleichsordnung</w:t>
      </w:r>
      <w:proofErr w:type="spellEnd"/>
      <w:r w:rsidRPr="00692C6D">
        <w:rPr>
          <w:rFonts w:ascii="Times New Roman" w:eastAsia="Calibri" w:hAnsi="Times New Roman" w:cs="Times New Roman"/>
          <w:sz w:val="24"/>
          <w:szCs w:val="24"/>
        </w:rPr>
        <w:t xml:space="preserve"> (Prawo układowe), a także obowiązujące przed zjednoczeniem Niemiec na terytorium byłej Niemieckiej Republiki Demokratycznej prawo o egzekucji generalnej. W przeciwieństwie do poprzedniego stanu prawnego </w:t>
      </w:r>
      <w:r w:rsidR="00BB7E62">
        <w:rPr>
          <w:rFonts w:ascii="Times New Roman" w:eastAsia="Calibri" w:hAnsi="Times New Roman" w:cs="Times New Roman"/>
          <w:sz w:val="24"/>
          <w:szCs w:val="24"/>
        </w:rPr>
        <w:t>postępowanie nie jest zatem zróż</w:t>
      </w:r>
      <w:r w:rsidRPr="00692C6D">
        <w:rPr>
          <w:rFonts w:ascii="Times New Roman" w:eastAsia="Calibri" w:hAnsi="Times New Roman" w:cs="Times New Roman"/>
          <w:sz w:val="24"/>
          <w:szCs w:val="24"/>
        </w:rPr>
        <w:t xml:space="preserve">nicowane na upadłościowe i układowe – ustawa statuuje jednolite postępowanie </w:t>
      </w:r>
      <w:proofErr w:type="spellStart"/>
      <w:r w:rsidRPr="00692C6D">
        <w:rPr>
          <w:rFonts w:ascii="Times New Roman" w:eastAsia="Calibri" w:hAnsi="Times New Roman" w:cs="Times New Roman"/>
          <w:sz w:val="24"/>
          <w:szCs w:val="24"/>
        </w:rPr>
        <w:t>insolwencyjne</w:t>
      </w:r>
      <w:proofErr w:type="spellEnd"/>
      <w:r w:rsidRPr="00692C6D">
        <w:rPr>
          <w:rFonts w:ascii="Times New Roman" w:eastAsia="Calibri" w:hAnsi="Times New Roman" w:cs="Times New Roman"/>
          <w:sz w:val="24"/>
          <w:szCs w:val="24"/>
        </w:rPr>
        <w:t xml:space="preserve">. Przepisy </w:t>
      </w:r>
      <w:proofErr w:type="spellStart"/>
      <w:r w:rsidRPr="00692C6D">
        <w:rPr>
          <w:rFonts w:ascii="Times New Roman" w:eastAsia="Calibri" w:hAnsi="Times New Roman" w:cs="Times New Roman"/>
          <w:sz w:val="24"/>
          <w:szCs w:val="24"/>
        </w:rPr>
        <w:t>InsO</w:t>
      </w:r>
      <w:proofErr w:type="spellEnd"/>
      <w:r w:rsidRPr="00692C6D">
        <w:rPr>
          <w:rFonts w:ascii="Times New Roman" w:eastAsia="Calibri" w:hAnsi="Times New Roman" w:cs="Times New Roman"/>
          <w:sz w:val="24"/>
          <w:szCs w:val="24"/>
        </w:rPr>
        <w:t xml:space="preserve"> przewidują przy tym trzy możliwe przyczyny otwarcia postępowania </w:t>
      </w:r>
      <w:proofErr w:type="spellStart"/>
      <w:r w:rsidRPr="00692C6D">
        <w:rPr>
          <w:rFonts w:ascii="Times New Roman" w:eastAsia="Calibri" w:hAnsi="Times New Roman" w:cs="Times New Roman"/>
          <w:sz w:val="24"/>
          <w:szCs w:val="24"/>
        </w:rPr>
        <w:t>insolwencyjnego</w:t>
      </w:r>
      <w:proofErr w:type="spellEnd"/>
      <w:r w:rsidRPr="00692C6D">
        <w:rPr>
          <w:rFonts w:ascii="Times New Roman" w:eastAsia="Calibri" w:hAnsi="Times New Roman" w:cs="Times New Roman"/>
          <w:sz w:val="24"/>
          <w:szCs w:val="24"/>
        </w:rPr>
        <w:t xml:space="preserve"> -  niewypłacalność dłużnika, jego zagrożenie niewypłacalnością oraz nadmierne zadłużenie</w:t>
      </w:r>
      <w:r w:rsidR="00BB7E62">
        <w:rPr>
          <w:rFonts w:ascii="Times New Roman" w:eastAsia="Calibri" w:hAnsi="Times New Roman" w:cs="Times New Roman"/>
          <w:sz w:val="24"/>
          <w:szCs w:val="24"/>
        </w:rPr>
        <w:t xml:space="preserve">. </w:t>
      </w:r>
      <w:r w:rsidRPr="00692C6D">
        <w:rPr>
          <w:rFonts w:ascii="Times New Roman" w:eastAsia="Calibri" w:hAnsi="Times New Roman" w:cs="Times New Roman"/>
          <w:sz w:val="24"/>
          <w:szCs w:val="24"/>
        </w:rPr>
        <w:t xml:space="preserve">Pierwszoplanowym celem </w:t>
      </w:r>
      <w:r w:rsidR="00B44FCC">
        <w:rPr>
          <w:rFonts w:ascii="Times New Roman" w:eastAsia="Calibri" w:hAnsi="Times New Roman" w:cs="Times New Roman"/>
          <w:sz w:val="24"/>
          <w:szCs w:val="24"/>
        </w:rPr>
        <w:t xml:space="preserve">niemieckiego </w:t>
      </w:r>
      <w:r w:rsidRPr="00692C6D">
        <w:rPr>
          <w:rFonts w:ascii="Times New Roman" w:eastAsia="Calibri" w:hAnsi="Times New Roman" w:cs="Times New Roman"/>
          <w:sz w:val="24"/>
          <w:szCs w:val="24"/>
        </w:rPr>
        <w:t xml:space="preserve">postępowania </w:t>
      </w:r>
      <w:proofErr w:type="spellStart"/>
      <w:r w:rsidRPr="00692C6D">
        <w:rPr>
          <w:rFonts w:ascii="Times New Roman" w:eastAsia="Calibri" w:hAnsi="Times New Roman" w:cs="Times New Roman"/>
          <w:sz w:val="24"/>
          <w:szCs w:val="24"/>
        </w:rPr>
        <w:t>insolwencyjnego</w:t>
      </w:r>
      <w:proofErr w:type="spellEnd"/>
      <w:r w:rsidRPr="00692C6D">
        <w:rPr>
          <w:rFonts w:ascii="Times New Roman" w:eastAsia="Calibri" w:hAnsi="Times New Roman" w:cs="Times New Roman"/>
          <w:sz w:val="24"/>
          <w:szCs w:val="24"/>
        </w:rPr>
        <w:t xml:space="preserve"> jest zaspokojenie wierzycieli w jak najpełniejszym stopniu, a prowadzą do tego dwie drogi: likwidacja (spieniężenie majątku dłużnika) lub uzdrowienie przedsiębiorstwa dłużnika poprzez znalezienie innego rozwiązania w planie </w:t>
      </w:r>
      <w:proofErr w:type="spellStart"/>
      <w:r w:rsidRPr="00692C6D">
        <w:rPr>
          <w:rFonts w:ascii="Times New Roman" w:eastAsia="Calibri" w:hAnsi="Times New Roman" w:cs="Times New Roman"/>
          <w:sz w:val="24"/>
          <w:szCs w:val="24"/>
        </w:rPr>
        <w:t>insolwencyjnym</w:t>
      </w:r>
      <w:proofErr w:type="spellEnd"/>
      <w:r w:rsidRPr="00692C6D">
        <w:rPr>
          <w:rFonts w:ascii="Times New Roman" w:eastAsia="Calibri" w:hAnsi="Times New Roman" w:cs="Times New Roman"/>
          <w:sz w:val="24"/>
          <w:szCs w:val="24"/>
        </w:rPr>
        <w:t xml:space="preserve">. To sami wierzyciele decydują o sposobie prowadzenia postępowania, </w:t>
      </w:r>
      <w:r w:rsidR="00BB7E62">
        <w:rPr>
          <w:rFonts w:ascii="Times New Roman" w:eastAsia="Calibri" w:hAnsi="Times New Roman" w:cs="Times New Roman"/>
          <w:sz w:val="24"/>
          <w:szCs w:val="24"/>
        </w:rPr>
        <w:t>gdyż</w:t>
      </w:r>
      <w:r w:rsidRPr="00692C6D">
        <w:rPr>
          <w:rFonts w:ascii="Times New Roman" w:eastAsia="Calibri" w:hAnsi="Times New Roman" w:cs="Times New Roman"/>
          <w:sz w:val="24"/>
          <w:szCs w:val="24"/>
        </w:rPr>
        <w:t xml:space="preserve"> ustawodawca niemiecki wychodzi z założenia, iż uczestnicy, jako najbardziej zainteresowani wynikiem postępowania </w:t>
      </w:r>
      <w:proofErr w:type="spellStart"/>
      <w:r w:rsidRPr="00692C6D">
        <w:rPr>
          <w:rFonts w:ascii="Times New Roman" w:eastAsia="Calibri" w:hAnsi="Times New Roman" w:cs="Times New Roman"/>
          <w:sz w:val="24"/>
          <w:szCs w:val="24"/>
        </w:rPr>
        <w:t>insolwencyjnego</w:t>
      </w:r>
      <w:proofErr w:type="spellEnd"/>
      <w:r w:rsidRPr="00692C6D">
        <w:rPr>
          <w:rFonts w:ascii="Times New Roman" w:eastAsia="Calibri" w:hAnsi="Times New Roman" w:cs="Times New Roman"/>
          <w:sz w:val="24"/>
          <w:szCs w:val="24"/>
        </w:rPr>
        <w:t>, będą dążyć do uzyskania najlepszych ekonomicznie rezultatów. Drugi</w:t>
      </w:r>
      <w:r w:rsidR="00BB7E62">
        <w:rPr>
          <w:rFonts w:ascii="Times New Roman" w:eastAsia="Calibri" w:hAnsi="Times New Roman" w:cs="Times New Roman"/>
          <w:sz w:val="24"/>
          <w:szCs w:val="24"/>
        </w:rPr>
        <w:t>m</w:t>
      </w:r>
      <w:r w:rsidRPr="00692C6D">
        <w:rPr>
          <w:rFonts w:ascii="Times New Roman" w:eastAsia="Calibri" w:hAnsi="Times New Roman" w:cs="Times New Roman"/>
          <w:sz w:val="24"/>
          <w:szCs w:val="24"/>
        </w:rPr>
        <w:t xml:space="preserve"> celem postępowania </w:t>
      </w:r>
      <w:proofErr w:type="spellStart"/>
      <w:r w:rsidRPr="00692C6D">
        <w:rPr>
          <w:rFonts w:ascii="Times New Roman" w:eastAsia="Calibri" w:hAnsi="Times New Roman" w:cs="Times New Roman"/>
          <w:sz w:val="24"/>
          <w:szCs w:val="24"/>
        </w:rPr>
        <w:t>insolwencyjnego</w:t>
      </w:r>
      <w:proofErr w:type="spellEnd"/>
      <w:r w:rsidRPr="00692C6D">
        <w:rPr>
          <w:rFonts w:ascii="Times New Roman" w:eastAsia="Calibri" w:hAnsi="Times New Roman" w:cs="Times New Roman"/>
          <w:sz w:val="24"/>
          <w:szCs w:val="24"/>
        </w:rPr>
        <w:t xml:space="preserve"> jest natomiast umożliwienie zwolnienia dłużnika z części jego długów. Akcentuje się rolę zasady (funkcji) ochrony wierzycieli, ale w stosunku do poprzedniej regulacji w </w:t>
      </w:r>
      <w:proofErr w:type="spellStart"/>
      <w:r w:rsidRPr="00692C6D">
        <w:rPr>
          <w:rFonts w:ascii="Times New Roman" w:eastAsia="Calibri" w:hAnsi="Times New Roman" w:cs="Times New Roman"/>
          <w:sz w:val="24"/>
          <w:szCs w:val="24"/>
        </w:rPr>
        <w:t>InsO</w:t>
      </w:r>
      <w:proofErr w:type="spellEnd"/>
      <w:r w:rsidRPr="00692C6D">
        <w:rPr>
          <w:rFonts w:ascii="Times New Roman" w:eastAsia="Calibri" w:hAnsi="Times New Roman" w:cs="Times New Roman"/>
          <w:sz w:val="24"/>
          <w:szCs w:val="24"/>
        </w:rPr>
        <w:t xml:space="preserve"> zaznacza się silniejsza koncepcja ochrony dłużnika chcącego ratować swoje przedsiębiorstwo i umożliwienia mu „nowego początku”. Należy jednak zwrócić uwagę, że podstawową funkcją niemieckiego prawa upadłościowego </w:t>
      </w:r>
      <w:r w:rsidR="00BB7E62">
        <w:rPr>
          <w:rFonts w:ascii="Times New Roman" w:eastAsia="Calibri" w:hAnsi="Times New Roman" w:cs="Times New Roman"/>
          <w:sz w:val="24"/>
          <w:szCs w:val="24"/>
        </w:rPr>
        <w:t xml:space="preserve">tradycyjnie </w:t>
      </w:r>
      <w:r w:rsidRPr="00692C6D">
        <w:rPr>
          <w:rFonts w:ascii="Times New Roman" w:eastAsia="Calibri" w:hAnsi="Times New Roman" w:cs="Times New Roman"/>
          <w:sz w:val="24"/>
          <w:szCs w:val="24"/>
        </w:rPr>
        <w:t xml:space="preserve">pozostaje ochrona wierzycieli, natomiast drugi cel – zwolnienie dłużnika z części jego długów, nie ma charakteru obowiązkowego, lecz uzależnione jest od spełnienia przez dłużnika warunków określonych </w:t>
      </w:r>
      <w:proofErr w:type="spellStart"/>
      <w:r w:rsidRPr="00692C6D">
        <w:rPr>
          <w:rFonts w:ascii="Times New Roman" w:eastAsia="Calibri" w:hAnsi="Times New Roman" w:cs="Times New Roman"/>
          <w:sz w:val="24"/>
          <w:szCs w:val="24"/>
        </w:rPr>
        <w:t>InsO</w:t>
      </w:r>
      <w:proofErr w:type="spellEnd"/>
      <w:r w:rsidRPr="00692C6D">
        <w:rPr>
          <w:rFonts w:ascii="Times New Roman" w:eastAsia="Calibri" w:hAnsi="Times New Roman" w:cs="Times New Roman"/>
          <w:sz w:val="24"/>
          <w:szCs w:val="24"/>
        </w:rPr>
        <w:t xml:space="preserve">. </w:t>
      </w:r>
    </w:p>
    <w:p w:rsidR="00420D2E" w:rsidRPr="00692C6D" w:rsidRDefault="00BD2E92" w:rsidP="00BD2E92">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20D2E" w:rsidRPr="00692C6D">
        <w:rPr>
          <w:rFonts w:ascii="Times New Roman" w:eastAsia="Calibri" w:hAnsi="Times New Roman" w:cs="Times New Roman"/>
          <w:sz w:val="24"/>
          <w:szCs w:val="24"/>
        </w:rPr>
        <w:t>aj</w:t>
      </w:r>
      <w:r>
        <w:rPr>
          <w:rFonts w:ascii="Times New Roman" w:eastAsia="Calibri" w:hAnsi="Times New Roman" w:cs="Times New Roman"/>
          <w:sz w:val="24"/>
          <w:szCs w:val="24"/>
        </w:rPr>
        <w:t>większy stopień ochrony zapewnia</w:t>
      </w:r>
      <w:r w:rsidR="00420D2E" w:rsidRPr="00692C6D">
        <w:rPr>
          <w:rFonts w:ascii="Times New Roman" w:eastAsia="Calibri" w:hAnsi="Times New Roman" w:cs="Times New Roman"/>
          <w:sz w:val="24"/>
          <w:szCs w:val="24"/>
        </w:rPr>
        <w:t>no</w:t>
      </w:r>
      <w:r>
        <w:rPr>
          <w:rFonts w:ascii="Times New Roman" w:eastAsia="Calibri" w:hAnsi="Times New Roman" w:cs="Times New Roman"/>
          <w:sz w:val="24"/>
          <w:szCs w:val="24"/>
        </w:rPr>
        <w:t xml:space="preserve"> natomiast</w:t>
      </w:r>
      <w:r w:rsidR="00420D2E" w:rsidRPr="00692C6D">
        <w:rPr>
          <w:rFonts w:ascii="Times New Roman" w:eastAsia="Calibri" w:hAnsi="Times New Roman" w:cs="Times New Roman"/>
          <w:sz w:val="24"/>
          <w:szCs w:val="24"/>
        </w:rPr>
        <w:t xml:space="preserve"> wierzycielom w Szwajcarii, na mocy ustawy z dnia 11 kwietnia 1889 r. o dochodzeniu należności i upadłości (</w:t>
      </w:r>
      <w:proofErr w:type="spellStart"/>
      <w:r w:rsidR="00420D2E" w:rsidRPr="00692C6D">
        <w:rPr>
          <w:rFonts w:ascii="Times New Roman" w:eastAsia="Calibri" w:hAnsi="Times New Roman" w:cs="Times New Roman"/>
          <w:i/>
          <w:sz w:val="24"/>
          <w:szCs w:val="24"/>
        </w:rPr>
        <w:t>Bundesgesetz</w:t>
      </w:r>
      <w:proofErr w:type="spellEnd"/>
      <w:r w:rsidR="00420D2E" w:rsidRPr="00692C6D">
        <w:rPr>
          <w:rFonts w:ascii="Times New Roman" w:eastAsia="Calibri" w:hAnsi="Times New Roman" w:cs="Times New Roman"/>
          <w:i/>
          <w:sz w:val="24"/>
          <w:szCs w:val="24"/>
        </w:rPr>
        <w:t xml:space="preserve"> </w:t>
      </w:r>
      <w:proofErr w:type="spellStart"/>
      <w:r w:rsidR="00420D2E" w:rsidRPr="00692C6D">
        <w:rPr>
          <w:rFonts w:ascii="Times New Roman" w:eastAsia="Calibri" w:hAnsi="Times New Roman" w:cs="Times New Roman"/>
          <w:i/>
          <w:sz w:val="24"/>
          <w:szCs w:val="24"/>
        </w:rPr>
        <w:t>über</w:t>
      </w:r>
      <w:proofErr w:type="spellEnd"/>
      <w:r w:rsidR="00420D2E" w:rsidRPr="00692C6D">
        <w:rPr>
          <w:rFonts w:ascii="Times New Roman" w:eastAsia="Calibri" w:hAnsi="Times New Roman" w:cs="Times New Roman"/>
          <w:i/>
          <w:sz w:val="24"/>
          <w:szCs w:val="24"/>
        </w:rPr>
        <w:t xml:space="preserve"> </w:t>
      </w:r>
      <w:proofErr w:type="spellStart"/>
      <w:r w:rsidR="00420D2E" w:rsidRPr="00692C6D">
        <w:rPr>
          <w:rFonts w:ascii="Times New Roman" w:eastAsia="Calibri" w:hAnsi="Times New Roman" w:cs="Times New Roman"/>
          <w:i/>
          <w:sz w:val="24"/>
          <w:szCs w:val="24"/>
        </w:rPr>
        <w:t>Schuldbetreibung</w:t>
      </w:r>
      <w:proofErr w:type="spellEnd"/>
      <w:r w:rsidR="00420D2E" w:rsidRPr="00692C6D">
        <w:rPr>
          <w:rFonts w:ascii="Times New Roman" w:eastAsia="Calibri" w:hAnsi="Times New Roman" w:cs="Times New Roman"/>
          <w:i/>
          <w:sz w:val="24"/>
          <w:szCs w:val="24"/>
        </w:rPr>
        <w:t xml:space="preserve"> Und Konkurs</w:t>
      </w:r>
      <w:r w:rsidR="00420D2E" w:rsidRPr="00692C6D">
        <w:rPr>
          <w:rFonts w:ascii="Times New Roman" w:eastAsia="Calibri" w:hAnsi="Times New Roman" w:cs="Times New Roman"/>
          <w:sz w:val="24"/>
          <w:szCs w:val="24"/>
        </w:rPr>
        <w:t>),</w:t>
      </w:r>
      <w:r w:rsidR="00420D2E" w:rsidRPr="00692C6D">
        <w:rPr>
          <w:rFonts w:ascii="Times New Roman" w:eastAsia="Calibri" w:hAnsi="Times New Roman" w:cs="Times New Roman"/>
          <w:b/>
          <w:sz w:val="24"/>
          <w:szCs w:val="24"/>
        </w:rPr>
        <w:t xml:space="preserve"> </w:t>
      </w:r>
      <w:r w:rsidR="00420D2E" w:rsidRPr="00692C6D">
        <w:rPr>
          <w:rFonts w:ascii="Times New Roman" w:eastAsia="Calibri" w:hAnsi="Times New Roman" w:cs="Times New Roman"/>
          <w:sz w:val="24"/>
          <w:szCs w:val="24"/>
        </w:rPr>
        <w:t xml:space="preserve">bowiem przesłanką do ogłoszenia upadłości wierzycieli był </w:t>
      </w:r>
      <w:r>
        <w:rPr>
          <w:rFonts w:ascii="Times New Roman" w:eastAsia="Calibri" w:hAnsi="Times New Roman" w:cs="Times New Roman"/>
          <w:sz w:val="24"/>
          <w:szCs w:val="24"/>
        </w:rPr>
        <w:t xml:space="preserve">wówczas </w:t>
      </w:r>
      <w:r w:rsidR="00420D2E" w:rsidRPr="00692C6D">
        <w:rPr>
          <w:rFonts w:ascii="Times New Roman" w:eastAsia="Calibri" w:hAnsi="Times New Roman" w:cs="Times New Roman"/>
          <w:sz w:val="24"/>
          <w:szCs w:val="24"/>
        </w:rPr>
        <w:t>sam fakt niezaspokojenia wierzyciela, nawet gdy nie wystąpił stan niewypłacalności dłużnika</w:t>
      </w:r>
      <w:r>
        <w:rPr>
          <w:rFonts w:ascii="Times New Roman" w:eastAsia="Calibri" w:hAnsi="Times New Roman" w:cs="Times New Roman"/>
          <w:sz w:val="24"/>
          <w:szCs w:val="24"/>
        </w:rPr>
        <w:t>.</w:t>
      </w:r>
    </w:p>
    <w:p w:rsidR="00420D2E" w:rsidRDefault="00420D2E" w:rsidP="00234402">
      <w:pPr>
        <w:spacing w:after="0" w:line="360" w:lineRule="auto"/>
        <w:jc w:val="both"/>
        <w:rPr>
          <w:rFonts w:ascii="Times New Roman" w:eastAsia="Calibri" w:hAnsi="Times New Roman" w:cs="Times New Roman"/>
          <w:sz w:val="24"/>
          <w:szCs w:val="24"/>
        </w:rPr>
      </w:pPr>
    </w:p>
    <w:p w:rsidR="00BD2E92" w:rsidRPr="00BD2E92" w:rsidRDefault="00BD2E92" w:rsidP="00BD2E92">
      <w:pPr>
        <w:pStyle w:val="Akapitzlist"/>
        <w:numPr>
          <w:ilvl w:val="0"/>
          <w:numId w:val="4"/>
        </w:numPr>
        <w:spacing w:after="0" w:line="360" w:lineRule="auto"/>
        <w:ind w:left="567" w:hanging="567"/>
        <w:jc w:val="both"/>
        <w:rPr>
          <w:rFonts w:ascii="Times New Roman" w:eastAsia="Calibri" w:hAnsi="Times New Roman" w:cs="Times New Roman"/>
          <w:b/>
          <w:sz w:val="24"/>
          <w:szCs w:val="24"/>
        </w:rPr>
      </w:pPr>
      <w:r w:rsidRPr="00BD2E92">
        <w:rPr>
          <w:rFonts w:ascii="Times New Roman" w:eastAsia="Calibri" w:hAnsi="Times New Roman" w:cs="Times New Roman"/>
          <w:b/>
          <w:sz w:val="24"/>
          <w:szCs w:val="24"/>
        </w:rPr>
        <w:lastRenderedPageBreak/>
        <w:t>Od prawa państw zaborczych do 1 stycznia 2016 r. – prawo upadłościowe na ziemiach polskich</w:t>
      </w:r>
    </w:p>
    <w:p w:rsidR="00CD4D94" w:rsidRDefault="00CD4D94" w:rsidP="00234402">
      <w:pPr>
        <w:spacing w:after="0" w:line="360" w:lineRule="auto"/>
        <w:jc w:val="both"/>
        <w:rPr>
          <w:rFonts w:ascii="Times New Roman" w:eastAsia="Calibri" w:hAnsi="Times New Roman" w:cs="Times New Roman"/>
          <w:sz w:val="24"/>
          <w:szCs w:val="24"/>
        </w:rPr>
      </w:pPr>
    </w:p>
    <w:p w:rsidR="00BD2E92" w:rsidRDefault="00234402" w:rsidP="00BD2E92">
      <w:pPr>
        <w:spacing w:after="0" w:line="360" w:lineRule="auto"/>
        <w:ind w:firstLine="567"/>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Na ziemiach polskich pierwsze akty regulujące postępowanie upadłościowe obowiązywać zaczęły już w czasach zaborów. Od tego okresu aż do 1 stycznia 1935 r. obowiązywały ustawodawstwa dzielnicowe obejmujące cztery różne systemy upadłości.</w:t>
      </w:r>
    </w:p>
    <w:p w:rsidR="00234402" w:rsidRPr="00692C6D" w:rsidRDefault="00234402" w:rsidP="00BD2E92">
      <w:pPr>
        <w:spacing w:after="0" w:line="360" w:lineRule="auto"/>
        <w:ind w:firstLine="567"/>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System najstarszy, obowiązujący na ziemiach byłego Królestwa Kongresowego, opierał się na francuskim kodeksie handlowym z 10 września 1807 r., którego księga III (art. 437-614) nosiła tytuł o „upadłościach i bankructwach”. Na pozostałych ziemiach zaboru rosyjskiego obowiązywały art. 384-549 rosyjskiej ustawy postępowania sądowego handlowego z 1892 r. w redakcji z 1893 r.</w:t>
      </w:r>
    </w:p>
    <w:p w:rsidR="00234402" w:rsidRPr="00692C6D" w:rsidRDefault="00234402" w:rsidP="00BD2E92">
      <w:pPr>
        <w:spacing w:after="0" w:line="360" w:lineRule="auto"/>
        <w:ind w:firstLine="567"/>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Na ziemiach byłego zaboru pruskiego obowiązywała ordynacja upadłościowa z 10 lutego 1887 r. w brzmieniu obwieszczenia z 20 maja 1898 r., która regulowała całość postępowania upadłościowego.</w:t>
      </w:r>
    </w:p>
    <w:p w:rsidR="00234402" w:rsidRPr="00692C6D" w:rsidRDefault="00234402" w:rsidP="00BD2E92">
      <w:pPr>
        <w:spacing w:after="0" w:line="360" w:lineRule="auto"/>
        <w:ind w:firstLine="567"/>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W byłym zaborze austriackim, z częścią cieszyńską województwa śląskiego, obowiązywała austriacka ustawa konkursowa z 10 grudnia 1914 r., którą rozciągnięto także na Spisz i Orawę, uchylając tam węgierską ustawę konkursową.</w:t>
      </w:r>
    </w:p>
    <w:p w:rsidR="00BD2E92" w:rsidRDefault="00234402" w:rsidP="00BD2E92">
      <w:pPr>
        <w:spacing w:after="0" w:line="360" w:lineRule="auto"/>
        <w:ind w:firstLine="567"/>
        <w:jc w:val="both"/>
        <w:rPr>
          <w:rFonts w:ascii="Times New Roman" w:eastAsia="Calibri" w:hAnsi="Times New Roman" w:cs="Times New Roman"/>
          <w:sz w:val="24"/>
          <w:szCs w:val="24"/>
        </w:rPr>
      </w:pPr>
      <w:r w:rsidRPr="00692C6D">
        <w:rPr>
          <w:rFonts w:ascii="Times New Roman" w:eastAsia="Calibri" w:hAnsi="Times New Roman" w:cs="Times New Roman"/>
          <w:sz w:val="24"/>
          <w:szCs w:val="24"/>
        </w:rPr>
        <w:t xml:space="preserve">Po odzyskaniu przez Polskę niepodległości konieczne stało się ujednolicenie regulacji z zakresu prawa upadłościowego (a także układowego). W efekcie wydane </w:t>
      </w:r>
      <w:r w:rsidR="00BD2E92">
        <w:rPr>
          <w:rFonts w:ascii="Times New Roman" w:eastAsia="Calibri" w:hAnsi="Times New Roman" w:cs="Times New Roman"/>
          <w:sz w:val="24"/>
          <w:szCs w:val="24"/>
        </w:rPr>
        <w:t>zostały dwa akty prawne, które weszły</w:t>
      </w:r>
      <w:r w:rsidR="00BD2E92" w:rsidRPr="00BD2E92">
        <w:rPr>
          <w:rFonts w:ascii="Times New Roman" w:eastAsia="Calibri" w:hAnsi="Times New Roman" w:cs="Times New Roman"/>
          <w:sz w:val="24"/>
          <w:szCs w:val="24"/>
        </w:rPr>
        <w:t xml:space="preserve"> w życie z dniem 1 stycznia 1935 r.</w:t>
      </w:r>
      <w:r w:rsidR="00BD2E92">
        <w:rPr>
          <w:rFonts w:ascii="Times New Roman" w:eastAsia="Calibri" w:hAnsi="Times New Roman" w:cs="Times New Roman"/>
          <w:sz w:val="24"/>
          <w:szCs w:val="24"/>
        </w:rPr>
        <w:t>:</w:t>
      </w:r>
    </w:p>
    <w:p w:rsidR="00BD2E92" w:rsidRDefault="00234402" w:rsidP="00BD2E92">
      <w:pPr>
        <w:pStyle w:val="Akapitzlist"/>
        <w:numPr>
          <w:ilvl w:val="0"/>
          <w:numId w:val="5"/>
        </w:numPr>
        <w:spacing w:after="0" w:line="360" w:lineRule="auto"/>
        <w:jc w:val="both"/>
        <w:rPr>
          <w:rFonts w:ascii="Times New Roman" w:eastAsia="Calibri" w:hAnsi="Times New Roman" w:cs="Times New Roman"/>
          <w:sz w:val="24"/>
          <w:szCs w:val="24"/>
        </w:rPr>
      </w:pPr>
      <w:r w:rsidRPr="00BD2E92">
        <w:rPr>
          <w:rFonts w:ascii="Times New Roman" w:eastAsia="Calibri" w:hAnsi="Times New Roman" w:cs="Times New Roman"/>
          <w:sz w:val="24"/>
          <w:szCs w:val="24"/>
        </w:rPr>
        <w:t>Rozporządzenie Prezydenta Rzeczypospolitej z 24 października 1934 r. - Prawo upadłościowe</w:t>
      </w:r>
      <w:r w:rsidRPr="00BD2E92">
        <w:rPr>
          <w:rFonts w:ascii="Times New Roman" w:eastAsia="Calibri" w:hAnsi="Times New Roman" w:cs="Times New Roman"/>
          <w:b/>
          <w:sz w:val="24"/>
          <w:szCs w:val="24"/>
        </w:rPr>
        <w:t>,</w:t>
      </w:r>
      <w:r w:rsidR="00BD2E92">
        <w:rPr>
          <w:rFonts w:ascii="Times New Roman" w:eastAsia="Calibri" w:hAnsi="Times New Roman" w:cs="Times New Roman"/>
          <w:sz w:val="24"/>
          <w:szCs w:val="24"/>
        </w:rPr>
        <w:t xml:space="preserve"> </w:t>
      </w:r>
    </w:p>
    <w:p w:rsidR="00BD2E92" w:rsidRDefault="00BD2E92" w:rsidP="00BD2E92">
      <w:pPr>
        <w:pStyle w:val="Akapitzlist"/>
        <w:numPr>
          <w:ilvl w:val="0"/>
          <w:numId w:val="5"/>
        </w:numPr>
        <w:spacing w:after="0" w:line="360" w:lineRule="auto"/>
        <w:jc w:val="both"/>
        <w:rPr>
          <w:rFonts w:ascii="Times New Roman" w:eastAsia="Calibri" w:hAnsi="Times New Roman" w:cs="Times New Roman"/>
          <w:sz w:val="24"/>
          <w:szCs w:val="24"/>
        </w:rPr>
      </w:pPr>
      <w:r w:rsidRPr="00BD2E92">
        <w:rPr>
          <w:rFonts w:ascii="Times New Roman" w:eastAsia="Calibri" w:hAnsi="Times New Roman" w:cs="Times New Roman"/>
          <w:sz w:val="24"/>
          <w:szCs w:val="24"/>
        </w:rPr>
        <w:t>Rozporządzenie Prezydenta Rzeczypospolitej z 24 października 1934 r</w:t>
      </w:r>
      <w:r>
        <w:rPr>
          <w:rFonts w:ascii="Times New Roman" w:eastAsia="Calibri" w:hAnsi="Times New Roman" w:cs="Times New Roman"/>
          <w:sz w:val="24"/>
          <w:szCs w:val="24"/>
        </w:rPr>
        <w:t xml:space="preserve">. </w:t>
      </w:r>
      <w:r w:rsidRPr="00692C6D">
        <w:rPr>
          <w:rFonts w:ascii="Times New Roman" w:eastAsia="Calibri" w:hAnsi="Times New Roman" w:cs="Times New Roman"/>
          <w:sz w:val="24"/>
          <w:szCs w:val="24"/>
        </w:rPr>
        <w:t>Prawo o postępowaniu układowym</w:t>
      </w:r>
    </w:p>
    <w:p w:rsidR="00BD2E92" w:rsidRDefault="00BD2E92" w:rsidP="00BD2E92">
      <w:pPr>
        <w:pStyle w:val="Akapitzlist"/>
        <w:spacing w:after="0" w:line="360" w:lineRule="auto"/>
        <w:jc w:val="both"/>
        <w:rPr>
          <w:rFonts w:ascii="Times New Roman" w:eastAsia="Calibri" w:hAnsi="Times New Roman" w:cs="Times New Roman"/>
          <w:sz w:val="24"/>
          <w:szCs w:val="24"/>
        </w:rPr>
      </w:pPr>
    </w:p>
    <w:p w:rsidR="00CA122C" w:rsidRDefault="00234402" w:rsidP="00CA122C">
      <w:pPr>
        <w:spacing w:after="0" w:line="360" w:lineRule="auto"/>
        <w:ind w:firstLine="360"/>
        <w:jc w:val="both"/>
        <w:rPr>
          <w:rFonts w:ascii="Times New Roman" w:eastAsia="Calibri" w:hAnsi="Times New Roman" w:cs="Times New Roman"/>
          <w:sz w:val="24"/>
          <w:szCs w:val="24"/>
        </w:rPr>
      </w:pPr>
      <w:r w:rsidRPr="00BD2E92">
        <w:rPr>
          <w:rFonts w:ascii="Times New Roman" w:eastAsia="Calibri" w:hAnsi="Times New Roman" w:cs="Times New Roman"/>
          <w:sz w:val="24"/>
          <w:szCs w:val="24"/>
        </w:rPr>
        <w:t>Akt</w:t>
      </w:r>
      <w:r w:rsidR="00BD2E92">
        <w:rPr>
          <w:rFonts w:ascii="Times New Roman" w:eastAsia="Calibri" w:hAnsi="Times New Roman" w:cs="Times New Roman"/>
          <w:sz w:val="24"/>
          <w:szCs w:val="24"/>
        </w:rPr>
        <w:t>y te, wielokrotnie nowelizowane</w:t>
      </w:r>
      <w:r w:rsidR="00CA122C">
        <w:rPr>
          <w:rFonts w:ascii="Times New Roman" w:eastAsia="Calibri" w:hAnsi="Times New Roman" w:cs="Times New Roman"/>
          <w:sz w:val="24"/>
          <w:szCs w:val="24"/>
        </w:rPr>
        <w:t xml:space="preserve"> (najpoważniejsza zmiana miała miejsce w 1997 r.)</w:t>
      </w:r>
      <w:r w:rsidRPr="00BD2E92">
        <w:rPr>
          <w:rFonts w:ascii="Times New Roman" w:eastAsia="Calibri" w:hAnsi="Times New Roman" w:cs="Times New Roman"/>
          <w:sz w:val="24"/>
          <w:szCs w:val="24"/>
        </w:rPr>
        <w:t>, obowiązywał</w:t>
      </w:r>
      <w:r w:rsidR="00CA122C">
        <w:rPr>
          <w:rFonts w:ascii="Times New Roman" w:eastAsia="Calibri" w:hAnsi="Times New Roman" w:cs="Times New Roman"/>
          <w:sz w:val="24"/>
          <w:szCs w:val="24"/>
        </w:rPr>
        <w:t>y</w:t>
      </w:r>
      <w:r w:rsidRPr="00BD2E92">
        <w:rPr>
          <w:rFonts w:ascii="Times New Roman" w:eastAsia="Calibri" w:hAnsi="Times New Roman" w:cs="Times New Roman"/>
          <w:sz w:val="24"/>
          <w:szCs w:val="24"/>
        </w:rPr>
        <w:t xml:space="preserve"> aż do dnia 1 października 2003 r., to jest do wejścia w życie </w:t>
      </w:r>
      <w:r w:rsidR="00CA122C">
        <w:rPr>
          <w:rFonts w:ascii="Times New Roman" w:eastAsia="Calibri" w:hAnsi="Times New Roman" w:cs="Times New Roman"/>
          <w:sz w:val="24"/>
          <w:szCs w:val="24"/>
        </w:rPr>
        <w:t xml:space="preserve">ustawy z dnia 28 lutego 2003 r. Prawo Upadłościowe i naprawcze, która uchyliła je na mocy </w:t>
      </w:r>
      <w:r w:rsidRPr="00BD2E92">
        <w:rPr>
          <w:rFonts w:ascii="Times New Roman" w:eastAsia="Calibri" w:hAnsi="Times New Roman" w:cs="Times New Roman"/>
          <w:sz w:val="24"/>
          <w:szCs w:val="24"/>
        </w:rPr>
        <w:t xml:space="preserve">przepisu art. 545. </w:t>
      </w:r>
    </w:p>
    <w:p w:rsidR="00CA122C" w:rsidRPr="00CA122C" w:rsidRDefault="00CA122C" w:rsidP="00CA122C">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Ustawa ta, na wzór wyżej wspomnianego niemieckiego prawa </w:t>
      </w:r>
      <w:proofErr w:type="spellStart"/>
      <w:r>
        <w:rPr>
          <w:rFonts w:ascii="Times New Roman" w:eastAsia="Calibri" w:hAnsi="Times New Roman" w:cs="Times New Roman"/>
          <w:sz w:val="24"/>
          <w:szCs w:val="24"/>
        </w:rPr>
        <w:t>insolwencyjnego</w:t>
      </w:r>
      <w:proofErr w:type="spellEnd"/>
      <w:r>
        <w:rPr>
          <w:rFonts w:ascii="Times New Roman" w:eastAsia="Calibri" w:hAnsi="Times New Roman" w:cs="Times New Roman"/>
          <w:sz w:val="24"/>
          <w:szCs w:val="24"/>
        </w:rPr>
        <w:t xml:space="preserve">, łączyła w ramach jednego aktu prawnego postępowania prowadzone wobec dłużników niewypłacalnych – postępowanie upadłościowe oraz postępowanie mające na celu uniknięcie niewypłacalności przez dłużników dopiero nią zagrożonych – postępowanie naprawcze. Samo postępowanie upadłościowe mogło być prowadzone,  </w:t>
      </w:r>
      <w:r w:rsidRPr="00CA122C">
        <w:rPr>
          <w:rFonts w:ascii="Times New Roman" w:eastAsia="Calibri" w:hAnsi="Times New Roman" w:cs="Times New Roman"/>
          <w:sz w:val="24"/>
          <w:szCs w:val="24"/>
        </w:rPr>
        <w:t>zależnie od okoliczności jako:</w:t>
      </w:r>
    </w:p>
    <w:p w:rsidR="00CA122C" w:rsidRPr="00CA122C" w:rsidRDefault="00CA122C" w:rsidP="00B44FCC">
      <w:pPr>
        <w:spacing w:after="0" w:line="360" w:lineRule="auto"/>
        <w:ind w:left="709" w:hanging="283"/>
        <w:jc w:val="both"/>
        <w:rPr>
          <w:rFonts w:ascii="Times New Roman" w:eastAsia="Calibri" w:hAnsi="Times New Roman" w:cs="Times New Roman"/>
          <w:b/>
          <w:sz w:val="24"/>
          <w:szCs w:val="24"/>
        </w:rPr>
      </w:pPr>
      <w:r w:rsidRPr="00CA122C">
        <w:rPr>
          <w:rFonts w:ascii="Times New Roman" w:eastAsia="Calibri" w:hAnsi="Times New Roman" w:cs="Times New Roman"/>
          <w:b/>
          <w:sz w:val="24"/>
          <w:szCs w:val="24"/>
        </w:rPr>
        <w:lastRenderedPageBreak/>
        <w:t xml:space="preserve">1) </w:t>
      </w:r>
      <w:r>
        <w:rPr>
          <w:rFonts w:ascii="Times New Roman" w:eastAsia="Calibri" w:hAnsi="Times New Roman" w:cs="Times New Roman"/>
          <w:b/>
          <w:sz w:val="24"/>
          <w:szCs w:val="24"/>
        </w:rPr>
        <w:t>postępowanie</w:t>
      </w:r>
      <w:r w:rsidRPr="00CA122C">
        <w:rPr>
          <w:rFonts w:ascii="Times New Roman" w:eastAsia="Calibri" w:hAnsi="Times New Roman" w:cs="Times New Roman"/>
          <w:b/>
          <w:sz w:val="24"/>
          <w:szCs w:val="24"/>
        </w:rPr>
        <w:t xml:space="preserve"> upadłości</w:t>
      </w:r>
      <w:r>
        <w:rPr>
          <w:rFonts w:ascii="Times New Roman" w:eastAsia="Calibri" w:hAnsi="Times New Roman" w:cs="Times New Roman"/>
          <w:b/>
          <w:sz w:val="24"/>
          <w:szCs w:val="24"/>
        </w:rPr>
        <w:t>owe</w:t>
      </w:r>
      <w:r w:rsidR="00B44FCC">
        <w:rPr>
          <w:rFonts w:ascii="Times New Roman" w:eastAsia="Calibri" w:hAnsi="Times New Roman" w:cs="Times New Roman"/>
          <w:b/>
          <w:sz w:val="24"/>
          <w:szCs w:val="24"/>
        </w:rPr>
        <w:t xml:space="preserve"> z możliwością zawarcia układu (w literaturze przedmiotu często stosowano określenie: upadłość układowa)</w:t>
      </w:r>
    </w:p>
    <w:p w:rsidR="00CA122C" w:rsidRDefault="00CA122C" w:rsidP="00B44FCC">
      <w:pPr>
        <w:spacing w:after="0" w:line="360" w:lineRule="auto"/>
        <w:ind w:left="709" w:hanging="283"/>
        <w:jc w:val="both"/>
        <w:rPr>
          <w:rFonts w:ascii="Times New Roman" w:eastAsia="Calibri" w:hAnsi="Times New Roman" w:cs="Times New Roman"/>
          <w:b/>
          <w:sz w:val="24"/>
          <w:szCs w:val="24"/>
        </w:rPr>
      </w:pPr>
      <w:r w:rsidRPr="00CA122C">
        <w:rPr>
          <w:rFonts w:ascii="Times New Roman" w:eastAsia="Calibri" w:hAnsi="Times New Roman" w:cs="Times New Roman"/>
          <w:b/>
          <w:sz w:val="24"/>
          <w:szCs w:val="24"/>
        </w:rPr>
        <w:t xml:space="preserve">2)  </w:t>
      </w:r>
      <w:r>
        <w:rPr>
          <w:rFonts w:ascii="Times New Roman" w:eastAsia="Calibri" w:hAnsi="Times New Roman" w:cs="Times New Roman"/>
          <w:b/>
          <w:sz w:val="24"/>
          <w:szCs w:val="24"/>
        </w:rPr>
        <w:t>postępowanie upadłościowe</w:t>
      </w:r>
      <w:r w:rsidRPr="00CA122C">
        <w:rPr>
          <w:rFonts w:ascii="Times New Roman" w:eastAsia="Calibri" w:hAnsi="Times New Roman" w:cs="Times New Roman"/>
          <w:b/>
          <w:sz w:val="24"/>
          <w:szCs w:val="24"/>
        </w:rPr>
        <w:t xml:space="preserve"> obejmujące likwidację majątku</w:t>
      </w:r>
      <w:r>
        <w:rPr>
          <w:rFonts w:ascii="Times New Roman" w:eastAsia="Calibri" w:hAnsi="Times New Roman" w:cs="Times New Roman"/>
          <w:b/>
          <w:sz w:val="24"/>
          <w:szCs w:val="24"/>
        </w:rPr>
        <w:t xml:space="preserve"> upadłego</w:t>
      </w:r>
      <w:r w:rsidR="00B44FCC">
        <w:rPr>
          <w:rFonts w:ascii="Times New Roman" w:eastAsia="Calibri" w:hAnsi="Times New Roman" w:cs="Times New Roman"/>
          <w:b/>
          <w:sz w:val="24"/>
          <w:szCs w:val="24"/>
        </w:rPr>
        <w:t xml:space="preserve"> (w literaturze często jako: upadłość likwidacyjna)</w:t>
      </w:r>
      <w:r w:rsidRPr="00CA122C">
        <w:rPr>
          <w:rFonts w:ascii="Times New Roman" w:eastAsia="Calibri" w:hAnsi="Times New Roman" w:cs="Times New Roman"/>
          <w:b/>
          <w:sz w:val="24"/>
          <w:szCs w:val="24"/>
        </w:rPr>
        <w:t>.</w:t>
      </w:r>
    </w:p>
    <w:p w:rsidR="00CA122C" w:rsidRPr="00CA122C" w:rsidRDefault="00CA122C" w:rsidP="00CA122C">
      <w:pPr>
        <w:spacing w:after="0" w:line="360" w:lineRule="auto"/>
        <w:ind w:firstLine="360"/>
        <w:jc w:val="both"/>
        <w:rPr>
          <w:rFonts w:ascii="Times New Roman" w:eastAsia="Calibri" w:hAnsi="Times New Roman" w:cs="Times New Roman"/>
          <w:b/>
          <w:sz w:val="24"/>
          <w:szCs w:val="24"/>
        </w:rPr>
      </w:pPr>
    </w:p>
    <w:p w:rsidR="00CA122C" w:rsidRPr="00CA122C" w:rsidRDefault="00CA122C" w:rsidP="00CA122C">
      <w:pPr>
        <w:spacing w:after="0" w:line="360" w:lineRule="auto"/>
        <w:ind w:firstLine="360"/>
        <w:jc w:val="both"/>
        <w:rPr>
          <w:rFonts w:ascii="Times New Roman" w:eastAsia="Calibri" w:hAnsi="Times New Roman" w:cs="Times New Roman"/>
          <w:sz w:val="24"/>
          <w:szCs w:val="24"/>
        </w:rPr>
      </w:pPr>
      <w:r w:rsidRPr="00CA122C">
        <w:rPr>
          <w:rFonts w:ascii="Times New Roman" w:eastAsia="Calibri" w:hAnsi="Times New Roman" w:cs="Times New Roman"/>
          <w:sz w:val="24"/>
          <w:szCs w:val="24"/>
        </w:rPr>
        <w:tab/>
        <w:t xml:space="preserve">Upadłość dłużnika z możliwością zawarcia układu </w:t>
      </w:r>
      <w:r w:rsidR="00B44FCC">
        <w:rPr>
          <w:rFonts w:ascii="Times New Roman" w:eastAsia="Calibri" w:hAnsi="Times New Roman" w:cs="Times New Roman"/>
          <w:sz w:val="24"/>
          <w:szCs w:val="24"/>
        </w:rPr>
        <w:t>była</w:t>
      </w:r>
      <w:r w:rsidR="00B44FCC" w:rsidRPr="00CA122C">
        <w:rPr>
          <w:rFonts w:ascii="Times New Roman" w:eastAsia="Calibri" w:hAnsi="Times New Roman" w:cs="Times New Roman"/>
          <w:sz w:val="24"/>
          <w:szCs w:val="24"/>
        </w:rPr>
        <w:t xml:space="preserve"> </w:t>
      </w:r>
      <w:r w:rsidRPr="00CA122C">
        <w:rPr>
          <w:rFonts w:ascii="Times New Roman" w:eastAsia="Calibri" w:hAnsi="Times New Roman" w:cs="Times New Roman"/>
          <w:sz w:val="24"/>
          <w:szCs w:val="24"/>
        </w:rPr>
        <w:t>ogłasza</w:t>
      </w:r>
      <w:r>
        <w:rPr>
          <w:rFonts w:ascii="Times New Roman" w:eastAsia="Calibri" w:hAnsi="Times New Roman" w:cs="Times New Roman"/>
          <w:sz w:val="24"/>
          <w:szCs w:val="24"/>
        </w:rPr>
        <w:t>na jeżeli zostało</w:t>
      </w:r>
      <w:r w:rsidRPr="00CA122C">
        <w:rPr>
          <w:rFonts w:ascii="Times New Roman" w:eastAsia="Calibri" w:hAnsi="Times New Roman" w:cs="Times New Roman"/>
          <w:sz w:val="24"/>
          <w:szCs w:val="24"/>
        </w:rPr>
        <w:t xml:space="preserve"> uprawdopodobnione, że w drodze układu wierzyciele zostaną zaspokojeni w wyższym stopniu, niż zostaliby zaspokojeni po przeprowadzeniu postępowania upadłościowego obejmującego likwidację majątku dłużnika. Nawet wówczas jednak nie ogłasza</w:t>
      </w:r>
      <w:r>
        <w:rPr>
          <w:rFonts w:ascii="Times New Roman" w:eastAsia="Calibri" w:hAnsi="Times New Roman" w:cs="Times New Roman"/>
          <w:sz w:val="24"/>
          <w:szCs w:val="24"/>
        </w:rPr>
        <w:t>no</w:t>
      </w:r>
      <w:r w:rsidRPr="00CA122C">
        <w:rPr>
          <w:rFonts w:ascii="Times New Roman" w:eastAsia="Calibri" w:hAnsi="Times New Roman" w:cs="Times New Roman"/>
          <w:sz w:val="24"/>
          <w:szCs w:val="24"/>
        </w:rPr>
        <w:t xml:space="preserve"> upadłości z możliwością zawarcia układu gdy z uwagi na dotychczasow</w:t>
      </w:r>
      <w:r>
        <w:rPr>
          <w:rFonts w:ascii="Times New Roman" w:eastAsia="Calibri" w:hAnsi="Times New Roman" w:cs="Times New Roman"/>
          <w:sz w:val="24"/>
          <w:szCs w:val="24"/>
        </w:rPr>
        <w:t>e zachowanie się dłużnika nie było</w:t>
      </w:r>
      <w:r w:rsidRPr="00CA122C">
        <w:rPr>
          <w:rFonts w:ascii="Times New Roman" w:eastAsia="Calibri" w:hAnsi="Times New Roman" w:cs="Times New Roman"/>
          <w:sz w:val="24"/>
          <w:szCs w:val="24"/>
        </w:rPr>
        <w:t xml:space="preserve"> pewnoś</w:t>
      </w:r>
      <w:r>
        <w:rPr>
          <w:rFonts w:ascii="Times New Roman" w:eastAsia="Calibri" w:hAnsi="Times New Roman" w:cs="Times New Roman"/>
          <w:sz w:val="24"/>
          <w:szCs w:val="24"/>
        </w:rPr>
        <w:t>ci, że układ zostanie wykonany,</w:t>
      </w:r>
      <w:r w:rsidRPr="00CA122C">
        <w:rPr>
          <w:rFonts w:ascii="Times New Roman" w:eastAsia="Calibri" w:hAnsi="Times New Roman" w:cs="Times New Roman"/>
          <w:sz w:val="24"/>
          <w:szCs w:val="24"/>
        </w:rPr>
        <w:t xml:space="preserve"> chyba, ż</w:t>
      </w:r>
      <w:r>
        <w:rPr>
          <w:rFonts w:ascii="Times New Roman" w:eastAsia="Calibri" w:hAnsi="Times New Roman" w:cs="Times New Roman"/>
          <w:sz w:val="24"/>
          <w:szCs w:val="24"/>
        </w:rPr>
        <w:t>e propozycje układowe przewidywały</w:t>
      </w:r>
      <w:r w:rsidRPr="00CA122C">
        <w:rPr>
          <w:rFonts w:ascii="Times New Roman" w:eastAsia="Calibri" w:hAnsi="Times New Roman" w:cs="Times New Roman"/>
          <w:sz w:val="24"/>
          <w:szCs w:val="24"/>
        </w:rPr>
        <w:t xml:space="preserve"> tzw. układ likwidacyjny. Upadłość dłużnika z </w:t>
      </w:r>
      <w:r>
        <w:rPr>
          <w:rFonts w:ascii="Times New Roman" w:eastAsia="Calibri" w:hAnsi="Times New Roman" w:cs="Times New Roman"/>
          <w:sz w:val="24"/>
          <w:szCs w:val="24"/>
        </w:rPr>
        <w:t>możliwością zawarcia układu mogła zatem</w:t>
      </w:r>
      <w:r w:rsidRPr="00CA122C">
        <w:rPr>
          <w:rFonts w:ascii="Times New Roman" w:eastAsia="Calibri" w:hAnsi="Times New Roman" w:cs="Times New Roman"/>
          <w:sz w:val="24"/>
          <w:szCs w:val="24"/>
        </w:rPr>
        <w:t xml:space="preserve"> zmierzać do zlikwidowania przedsiębiorstwa dłużnika i zakończenia jego działalności w obrocie gospodarc</w:t>
      </w:r>
      <w:r>
        <w:rPr>
          <w:rFonts w:ascii="Times New Roman" w:eastAsia="Calibri" w:hAnsi="Times New Roman" w:cs="Times New Roman"/>
          <w:sz w:val="24"/>
          <w:szCs w:val="24"/>
        </w:rPr>
        <w:t>zym, częściej jednak miała</w:t>
      </w:r>
      <w:r w:rsidRPr="00CA122C">
        <w:rPr>
          <w:rFonts w:ascii="Times New Roman" w:eastAsia="Calibri" w:hAnsi="Times New Roman" w:cs="Times New Roman"/>
          <w:sz w:val="24"/>
          <w:szCs w:val="24"/>
        </w:rPr>
        <w:t xml:space="preserve"> umożliwić dalsze jego funkcjonowanie po realizacji układu i częściowej spłacie wierzycieli.</w:t>
      </w:r>
    </w:p>
    <w:p w:rsidR="00CA122C" w:rsidRDefault="00CA122C" w:rsidP="00CA122C">
      <w:pPr>
        <w:spacing w:after="0" w:line="360" w:lineRule="auto"/>
        <w:jc w:val="both"/>
        <w:rPr>
          <w:rFonts w:ascii="Times New Roman" w:eastAsia="Calibri" w:hAnsi="Times New Roman" w:cs="Times New Roman"/>
          <w:sz w:val="24"/>
          <w:szCs w:val="24"/>
        </w:rPr>
      </w:pPr>
      <w:r w:rsidRPr="00CA122C">
        <w:rPr>
          <w:rFonts w:ascii="Times New Roman" w:eastAsia="Calibri" w:hAnsi="Times New Roman" w:cs="Times New Roman"/>
          <w:sz w:val="24"/>
          <w:szCs w:val="24"/>
        </w:rPr>
        <w:tab/>
        <w:t>Upadłość obejmującą likwidację majątku dłużnika ogłasza</w:t>
      </w:r>
      <w:r>
        <w:rPr>
          <w:rFonts w:ascii="Times New Roman" w:eastAsia="Calibri" w:hAnsi="Times New Roman" w:cs="Times New Roman"/>
          <w:sz w:val="24"/>
          <w:szCs w:val="24"/>
        </w:rPr>
        <w:t>no gdy brak było</w:t>
      </w:r>
      <w:r w:rsidRPr="00CA122C">
        <w:rPr>
          <w:rFonts w:ascii="Times New Roman" w:eastAsia="Calibri" w:hAnsi="Times New Roman" w:cs="Times New Roman"/>
          <w:sz w:val="24"/>
          <w:szCs w:val="24"/>
        </w:rPr>
        <w:t xml:space="preserve"> podstaw do ogłoszenia upadłości z możliwością zaw</w:t>
      </w:r>
      <w:r>
        <w:rPr>
          <w:rFonts w:ascii="Times New Roman" w:eastAsia="Calibri" w:hAnsi="Times New Roman" w:cs="Times New Roman"/>
          <w:sz w:val="24"/>
          <w:szCs w:val="24"/>
        </w:rPr>
        <w:t xml:space="preserve">arcia układu, jak </w:t>
      </w:r>
      <w:r w:rsidRPr="00CA122C">
        <w:rPr>
          <w:rFonts w:ascii="Times New Roman" w:eastAsia="Calibri" w:hAnsi="Times New Roman" w:cs="Times New Roman"/>
          <w:sz w:val="24"/>
          <w:szCs w:val="24"/>
        </w:rPr>
        <w:t>również wtedy, gdy z uwagi na dotychczasow</w:t>
      </w:r>
      <w:r>
        <w:rPr>
          <w:rFonts w:ascii="Times New Roman" w:eastAsia="Calibri" w:hAnsi="Times New Roman" w:cs="Times New Roman"/>
          <w:sz w:val="24"/>
          <w:szCs w:val="24"/>
        </w:rPr>
        <w:t>e zachowanie się dłużnika nie było</w:t>
      </w:r>
      <w:r w:rsidRPr="00CA122C">
        <w:rPr>
          <w:rFonts w:ascii="Times New Roman" w:eastAsia="Calibri" w:hAnsi="Times New Roman" w:cs="Times New Roman"/>
          <w:sz w:val="24"/>
          <w:szCs w:val="24"/>
        </w:rPr>
        <w:t xml:space="preserve"> pewności, że układ zostanie wykonany.</w:t>
      </w:r>
      <w:r w:rsidRPr="00CA122C">
        <w:rPr>
          <w:rFonts w:ascii="Times New Roman" w:eastAsia="Times New Roman" w:hAnsi="Times New Roman" w:cs="Times New Roman"/>
          <w:snapToGrid w:val="0"/>
          <w:color w:val="000000"/>
          <w:sz w:val="24"/>
          <w:szCs w:val="24"/>
          <w:lang w:eastAsia="pl-PL"/>
        </w:rPr>
        <w:t xml:space="preserve"> </w:t>
      </w:r>
      <w:r w:rsidRPr="00CA122C">
        <w:rPr>
          <w:rFonts w:ascii="Times New Roman" w:eastAsia="Calibri" w:hAnsi="Times New Roman" w:cs="Times New Roman"/>
          <w:sz w:val="24"/>
          <w:szCs w:val="24"/>
        </w:rPr>
        <w:t xml:space="preserve">Upadłość </w:t>
      </w:r>
      <w:r>
        <w:rPr>
          <w:rFonts w:ascii="Times New Roman" w:eastAsia="Calibri" w:hAnsi="Times New Roman" w:cs="Times New Roman"/>
          <w:sz w:val="24"/>
          <w:szCs w:val="24"/>
        </w:rPr>
        <w:t>ta</w:t>
      </w:r>
      <w:r w:rsidRPr="00CA122C">
        <w:rPr>
          <w:rFonts w:ascii="Times New Roman" w:eastAsia="Calibri" w:hAnsi="Times New Roman" w:cs="Times New Roman"/>
          <w:sz w:val="24"/>
          <w:szCs w:val="24"/>
        </w:rPr>
        <w:t xml:space="preserve"> ogólnie zmierza</w:t>
      </w:r>
      <w:r>
        <w:rPr>
          <w:rFonts w:ascii="Times New Roman" w:eastAsia="Calibri" w:hAnsi="Times New Roman" w:cs="Times New Roman"/>
          <w:sz w:val="24"/>
          <w:szCs w:val="24"/>
        </w:rPr>
        <w:t>ła</w:t>
      </w:r>
      <w:r w:rsidRPr="00CA122C">
        <w:rPr>
          <w:rFonts w:ascii="Times New Roman" w:eastAsia="Calibri" w:hAnsi="Times New Roman" w:cs="Times New Roman"/>
          <w:sz w:val="24"/>
          <w:szCs w:val="24"/>
        </w:rPr>
        <w:t xml:space="preserve"> do likwidacji całego majątku upadłego poprzez jego sprzedaż innym podmiotom i tym samym do definitywnego zakończenia działalności dłużnika w obrocie gospodarczym</w:t>
      </w:r>
      <w:r>
        <w:rPr>
          <w:rFonts w:ascii="Times New Roman" w:eastAsia="Calibri" w:hAnsi="Times New Roman" w:cs="Times New Roman"/>
          <w:sz w:val="24"/>
          <w:szCs w:val="24"/>
        </w:rPr>
        <w:t>.</w:t>
      </w:r>
    </w:p>
    <w:p w:rsidR="00CA122C" w:rsidRDefault="00CA122C" w:rsidP="00CA122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3681B" w:rsidRPr="0013681B">
        <w:rPr>
          <w:rFonts w:ascii="Times New Roman" w:eastAsia="Calibri" w:hAnsi="Times New Roman" w:cs="Times New Roman"/>
          <w:sz w:val="24"/>
          <w:szCs w:val="24"/>
        </w:rPr>
        <w:t>Postępowanie naprawcze</w:t>
      </w:r>
      <w:r w:rsidR="0013681B">
        <w:rPr>
          <w:rFonts w:ascii="Times New Roman" w:eastAsia="Calibri" w:hAnsi="Times New Roman" w:cs="Times New Roman"/>
          <w:sz w:val="24"/>
          <w:szCs w:val="24"/>
        </w:rPr>
        <w:t xml:space="preserve"> – w myśl stanu prawnego sprzed dnia 1 stycznia 2016 r. -</w:t>
      </w:r>
      <w:r w:rsidR="0013681B" w:rsidRPr="0013681B">
        <w:rPr>
          <w:rFonts w:ascii="Times New Roman" w:eastAsia="Calibri" w:hAnsi="Times New Roman" w:cs="Times New Roman"/>
          <w:sz w:val="24"/>
          <w:szCs w:val="24"/>
        </w:rPr>
        <w:t xml:space="preserve"> nie </w:t>
      </w:r>
      <w:r w:rsidR="0013681B">
        <w:rPr>
          <w:rFonts w:ascii="Times New Roman" w:eastAsia="Calibri" w:hAnsi="Times New Roman" w:cs="Times New Roman"/>
          <w:sz w:val="24"/>
          <w:szCs w:val="24"/>
        </w:rPr>
        <w:t xml:space="preserve">mogło być </w:t>
      </w:r>
      <w:r w:rsidR="00C60CCE">
        <w:rPr>
          <w:rFonts w:ascii="Times New Roman" w:eastAsia="Calibri" w:hAnsi="Times New Roman" w:cs="Times New Roman"/>
          <w:sz w:val="24"/>
          <w:szCs w:val="24"/>
        </w:rPr>
        <w:t>prowadzone</w:t>
      </w:r>
      <w:r w:rsidR="0013681B" w:rsidRPr="0013681B">
        <w:rPr>
          <w:rFonts w:ascii="Times New Roman" w:eastAsia="Calibri" w:hAnsi="Times New Roman" w:cs="Times New Roman"/>
          <w:sz w:val="24"/>
          <w:szCs w:val="24"/>
        </w:rPr>
        <w:t xml:space="preserve"> w stosunku do dłużników niewypłacalnych</w:t>
      </w:r>
      <w:r w:rsidR="00883079">
        <w:rPr>
          <w:rFonts w:ascii="Times New Roman" w:eastAsia="Calibri" w:hAnsi="Times New Roman" w:cs="Times New Roman"/>
          <w:sz w:val="24"/>
          <w:szCs w:val="24"/>
        </w:rPr>
        <w:t>, lecz takich, którzy dopiero byli</w:t>
      </w:r>
      <w:r w:rsidR="0013681B" w:rsidRPr="0013681B">
        <w:rPr>
          <w:rFonts w:ascii="Times New Roman" w:eastAsia="Calibri" w:hAnsi="Times New Roman" w:cs="Times New Roman"/>
          <w:sz w:val="24"/>
          <w:szCs w:val="24"/>
        </w:rPr>
        <w:t xml:space="preserve"> </w:t>
      </w:r>
      <w:r w:rsidR="0013681B" w:rsidRPr="0013681B">
        <w:rPr>
          <w:rFonts w:ascii="Times New Roman" w:eastAsia="Calibri" w:hAnsi="Times New Roman" w:cs="Times New Roman"/>
          <w:b/>
          <w:sz w:val="24"/>
          <w:szCs w:val="24"/>
        </w:rPr>
        <w:t xml:space="preserve">zagrożeni niewypłacalnością </w:t>
      </w:r>
      <w:r w:rsidR="0013681B">
        <w:rPr>
          <w:rFonts w:ascii="Times New Roman" w:eastAsia="Calibri" w:hAnsi="Times New Roman" w:cs="Times New Roman"/>
          <w:sz w:val="24"/>
          <w:szCs w:val="24"/>
        </w:rPr>
        <w:t>–</w:t>
      </w:r>
      <w:r w:rsidR="0013681B" w:rsidRPr="0013681B">
        <w:rPr>
          <w:rFonts w:ascii="Times New Roman" w:eastAsia="Calibri" w:hAnsi="Times New Roman" w:cs="Times New Roman"/>
          <w:sz w:val="24"/>
          <w:szCs w:val="24"/>
        </w:rPr>
        <w:t xml:space="preserve"> </w:t>
      </w:r>
      <w:r w:rsidR="0013681B">
        <w:rPr>
          <w:rFonts w:ascii="Times New Roman" w:eastAsia="Calibri" w:hAnsi="Times New Roman" w:cs="Times New Roman"/>
          <w:sz w:val="24"/>
          <w:szCs w:val="24"/>
        </w:rPr>
        <w:t xml:space="preserve">czyli w przypadku </w:t>
      </w:r>
      <w:r w:rsidR="0013681B" w:rsidRPr="0013681B">
        <w:rPr>
          <w:rFonts w:ascii="Times New Roman" w:eastAsia="Calibri" w:hAnsi="Times New Roman" w:cs="Times New Roman"/>
          <w:sz w:val="24"/>
          <w:szCs w:val="24"/>
        </w:rPr>
        <w:t xml:space="preserve">gdy pomimo wykonywania swoich zobowiązań </w:t>
      </w:r>
      <w:r w:rsidR="0013681B">
        <w:rPr>
          <w:rFonts w:ascii="Times New Roman" w:eastAsia="Calibri" w:hAnsi="Times New Roman" w:cs="Times New Roman"/>
          <w:sz w:val="24"/>
          <w:szCs w:val="24"/>
        </w:rPr>
        <w:t xml:space="preserve">przez </w:t>
      </w:r>
      <w:r w:rsidR="0013681B" w:rsidRPr="0013681B">
        <w:rPr>
          <w:rFonts w:ascii="Times New Roman" w:eastAsia="Calibri" w:hAnsi="Times New Roman" w:cs="Times New Roman"/>
          <w:sz w:val="24"/>
          <w:szCs w:val="24"/>
        </w:rPr>
        <w:t>dłużnik</w:t>
      </w:r>
      <w:r w:rsidR="0013681B">
        <w:rPr>
          <w:rFonts w:ascii="Times New Roman" w:eastAsia="Calibri" w:hAnsi="Times New Roman" w:cs="Times New Roman"/>
          <w:sz w:val="24"/>
          <w:szCs w:val="24"/>
        </w:rPr>
        <w:t>a</w:t>
      </w:r>
      <w:r w:rsidR="0013681B" w:rsidRPr="0013681B">
        <w:rPr>
          <w:rFonts w:ascii="Times New Roman" w:eastAsia="Calibri" w:hAnsi="Times New Roman" w:cs="Times New Roman"/>
          <w:sz w:val="24"/>
          <w:szCs w:val="24"/>
        </w:rPr>
        <w:t>, według rozsądnej oceny jego sytuacji ekonomicznej</w:t>
      </w:r>
      <w:r w:rsidR="0013681B">
        <w:rPr>
          <w:rFonts w:ascii="Times New Roman" w:eastAsia="Calibri" w:hAnsi="Times New Roman" w:cs="Times New Roman"/>
          <w:sz w:val="24"/>
          <w:szCs w:val="24"/>
        </w:rPr>
        <w:t xml:space="preserve"> było</w:t>
      </w:r>
      <w:r w:rsidR="0013681B" w:rsidRPr="0013681B">
        <w:rPr>
          <w:rFonts w:ascii="Times New Roman" w:eastAsia="Calibri" w:hAnsi="Times New Roman" w:cs="Times New Roman"/>
          <w:sz w:val="24"/>
          <w:szCs w:val="24"/>
        </w:rPr>
        <w:t xml:space="preserve"> oczywistym, że w niedługim czasie stanie się </w:t>
      </w:r>
      <w:r w:rsidR="0013681B">
        <w:rPr>
          <w:rFonts w:ascii="Times New Roman" w:eastAsia="Calibri" w:hAnsi="Times New Roman" w:cs="Times New Roman"/>
          <w:sz w:val="24"/>
          <w:szCs w:val="24"/>
        </w:rPr>
        <w:t xml:space="preserve">on </w:t>
      </w:r>
      <w:r w:rsidR="0013681B" w:rsidRPr="0013681B">
        <w:rPr>
          <w:rFonts w:ascii="Times New Roman" w:eastAsia="Calibri" w:hAnsi="Times New Roman" w:cs="Times New Roman"/>
          <w:sz w:val="24"/>
          <w:szCs w:val="24"/>
        </w:rPr>
        <w:t xml:space="preserve">niewypłacalny. W przypadku gdy zobowiązania już nie </w:t>
      </w:r>
      <w:r w:rsidR="0013681B">
        <w:rPr>
          <w:rFonts w:ascii="Times New Roman" w:eastAsia="Calibri" w:hAnsi="Times New Roman" w:cs="Times New Roman"/>
          <w:sz w:val="24"/>
          <w:szCs w:val="24"/>
        </w:rPr>
        <w:t>były</w:t>
      </w:r>
      <w:r w:rsidR="0013681B" w:rsidRPr="0013681B">
        <w:rPr>
          <w:rFonts w:ascii="Times New Roman" w:eastAsia="Calibri" w:hAnsi="Times New Roman" w:cs="Times New Roman"/>
          <w:sz w:val="24"/>
          <w:szCs w:val="24"/>
        </w:rPr>
        <w:t xml:space="preserve"> wykonywane nie </w:t>
      </w:r>
      <w:r w:rsidR="0013681B">
        <w:rPr>
          <w:rFonts w:ascii="Times New Roman" w:eastAsia="Calibri" w:hAnsi="Times New Roman" w:cs="Times New Roman"/>
          <w:sz w:val="24"/>
          <w:szCs w:val="24"/>
        </w:rPr>
        <w:t>było</w:t>
      </w:r>
      <w:r w:rsidR="0013681B" w:rsidRPr="0013681B">
        <w:rPr>
          <w:rFonts w:ascii="Times New Roman" w:eastAsia="Calibri" w:hAnsi="Times New Roman" w:cs="Times New Roman"/>
          <w:sz w:val="24"/>
          <w:szCs w:val="24"/>
        </w:rPr>
        <w:t xml:space="preserve"> możliwe prowadzenie postępowania naprawczego, lecz jedynie postępowania upadłościowego – ewentualnie z możliwością zawarcia układu</w:t>
      </w:r>
      <w:r w:rsidR="0013681B">
        <w:rPr>
          <w:rFonts w:ascii="Times New Roman" w:eastAsia="Calibri" w:hAnsi="Times New Roman" w:cs="Times New Roman"/>
          <w:sz w:val="24"/>
          <w:szCs w:val="24"/>
        </w:rPr>
        <w:t xml:space="preserve">. </w:t>
      </w:r>
      <w:r w:rsidR="0013681B" w:rsidRPr="0013681B">
        <w:rPr>
          <w:rFonts w:ascii="Times New Roman" w:eastAsia="Calibri" w:hAnsi="Times New Roman" w:cs="Times New Roman"/>
          <w:sz w:val="24"/>
          <w:szCs w:val="24"/>
        </w:rPr>
        <w:t>Postępowanie naprawcze zmierza</w:t>
      </w:r>
      <w:r w:rsidR="0013681B">
        <w:rPr>
          <w:rFonts w:ascii="Times New Roman" w:eastAsia="Calibri" w:hAnsi="Times New Roman" w:cs="Times New Roman"/>
          <w:sz w:val="24"/>
          <w:szCs w:val="24"/>
        </w:rPr>
        <w:t xml:space="preserve">ło </w:t>
      </w:r>
      <w:r w:rsidR="0013681B" w:rsidRPr="0013681B">
        <w:rPr>
          <w:rFonts w:ascii="Times New Roman" w:eastAsia="Calibri" w:hAnsi="Times New Roman" w:cs="Times New Roman"/>
          <w:sz w:val="24"/>
          <w:szCs w:val="24"/>
        </w:rPr>
        <w:t>do r</w:t>
      </w:r>
      <w:r w:rsidR="0013681B">
        <w:rPr>
          <w:rFonts w:ascii="Times New Roman" w:eastAsia="Calibri" w:hAnsi="Times New Roman" w:cs="Times New Roman"/>
          <w:sz w:val="24"/>
          <w:szCs w:val="24"/>
        </w:rPr>
        <w:t>estrukturyzacji</w:t>
      </w:r>
      <w:r w:rsidR="0013681B" w:rsidRPr="0013681B">
        <w:rPr>
          <w:rFonts w:ascii="Times New Roman" w:eastAsia="Calibri" w:hAnsi="Times New Roman" w:cs="Times New Roman"/>
          <w:sz w:val="24"/>
          <w:szCs w:val="24"/>
        </w:rPr>
        <w:t xml:space="preserve"> zobowiązań dłużnika w drodze układu zawartego z wierzy</w:t>
      </w:r>
      <w:r w:rsidR="0013681B">
        <w:rPr>
          <w:rFonts w:ascii="Times New Roman" w:eastAsia="Calibri" w:hAnsi="Times New Roman" w:cs="Times New Roman"/>
          <w:sz w:val="24"/>
          <w:szCs w:val="24"/>
        </w:rPr>
        <w:t>cielami i tym samym zapobieżeniu</w:t>
      </w:r>
      <w:r w:rsidR="0013681B" w:rsidRPr="0013681B">
        <w:rPr>
          <w:rFonts w:ascii="Times New Roman" w:eastAsia="Calibri" w:hAnsi="Times New Roman" w:cs="Times New Roman"/>
          <w:sz w:val="24"/>
          <w:szCs w:val="24"/>
        </w:rPr>
        <w:t xml:space="preserve"> jego upadłości, a w dal</w:t>
      </w:r>
      <w:r w:rsidR="0013681B">
        <w:rPr>
          <w:rFonts w:ascii="Times New Roman" w:eastAsia="Calibri" w:hAnsi="Times New Roman" w:cs="Times New Roman"/>
          <w:sz w:val="24"/>
          <w:szCs w:val="24"/>
        </w:rPr>
        <w:t>szej perspektywie -  uzdrowieniu</w:t>
      </w:r>
      <w:r w:rsidR="0013681B" w:rsidRPr="0013681B">
        <w:rPr>
          <w:rFonts w:ascii="Times New Roman" w:eastAsia="Calibri" w:hAnsi="Times New Roman" w:cs="Times New Roman"/>
          <w:sz w:val="24"/>
          <w:szCs w:val="24"/>
        </w:rPr>
        <w:t xml:space="preserve"> jego sytuacji ekonomiczno-finansowej.  </w:t>
      </w:r>
    </w:p>
    <w:p w:rsidR="002D7BCE" w:rsidRPr="00CA122C" w:rsidRDefault="002D7BCE" w:rsidP="00CA122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W praktyce postępowanie naprawcze było wykorzystywane sporadycznie – było to kilka, góra kilkanaście postępowań w skali roku. </w:t>
      </w:r>
      <w:r w:rsidR="008F5FAF">
        <w:rPr>
          <w:rFonts w:ascii="Times New Roman" w:eastAsia="Calibri" w:hAnsi="Times New Roman" w:cs="Times New Roman"/>
          <w:sz w:val="24"/>
          <w:szCs w:val="24"/>
        </w:rPr>
        <w:t xml:space="preserve">Z kolei pośród postępowań upadłościowych (w przypadku postępowań o charakterze ogólnym – nie uwzględniając upadłości </w:t>
      </w:r>
      <w:r w:rsidR="008F5FAF">
        <w:rPr>
          <w:rFonts w:ascii="Times New Roman" w:eastAsia="Calibri" w:hAnsi="Times New Roman" w:cs="Times New Roman"/>
          <w:sz w:val="24"/>
          <w:szCs w:val="24"/>
        </w:rPr>
        <w:lastRenderedPageBreak/>
        <w:t>konsumenckich), około 4/5 miało charakter upadłości likw</w:t>
      </w:r>
      <w:r w:rsidR="00883079">
        <w:rPr>
          <w:rFonts w:ascii="Times New Roman" w:eastAsia="Calibri" w:hAnsi="Times New Roman" w:cs="Times New Roman"/>
          <w:sz w:val="24"/>
          <w:szCs w:val="24"/>
        </w:rPr>
        <w:t>idacyjnych, a z reguły mniej niż</w:t>
      </w:r>
      <w:r w:rsidR="008F5FAF">
        <w:rPr>
          <w:rFonts w:ascii="Times New Roman" w:eastAsia="Calibri" w:hAnsi="Times New Roman" w:cs="Times New Roman"/>
          <w:sz w:val="24"/>
          <w:szCs w:val="24"/>
        </w:rPr>
        <w:t xml:space="preserve"> 20% prowadziło do zawarcia układu upadłego z wierzycielami.</w:t>
      </w:r>
    </w:p>
    <w:p w:rsidR="008F5FAF" w:rsidRDefault="008F5FAF" w:rsidP="008F5FAF">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ślad za wspomnianymi wyżej ogólnoświatowymi trendami, zgodnymi z polityką „drugiej szansy” dla dłużników ustawodawca zdecydował się na zdecydowaną zmianę, wyrażającą się na wyodrębnieniu postępowań zmierzających do restrukturyzacji zobowiązań dłużnika i uzdrowienia jego sytuacji gospodarczej w ramach odrębnego aktu prawnego -  </w:t>
      </w:r>
      <w:r w:rsidRPr="00692C6D">
        <w:rPr>
          <w:rFonts w:ascii="Times New Roman" w:eastAsia="Calibri" w:hAnsi="Times New Roman" w:cs="Times New Roman"/>
          <w:sz w:val="24"/>
          <w:szCs w:val="24"/>
        </w:rPr>
        <w:t>ustawa z dnia 15 maja 2015 roku - Prawo Restrukturyzacyjne</w:t>
      </w:r>
      <w:r>
        <w:rPr>
          <w:rFonts w:ascii="Times New Roman" w:eastAsia="Calibri" w:hAnsi="Times New Roman" w:cs="Times New Roman"/>
          <w:sz w:val="24"/>
          <w:szCs w:val="24"/>
        </w:rPr>
        <w:t xml:space="preserve"> (t. j. </w:t>
      </w:r>
      <w:r w:rsidR="00B44FCC">
        <w:rPr>
          <w:rFonts w:ascii="Times New Roman" w:eastAsia="Calibri" w:hAnsi="Times New Roman" w:cs="Times New Roman"/>
          <w:sz w:val="24"/>
          <w:szCs w:val="24"/>
        </w:rPr>
        <w:t xml:space="preserve">Dz. U. </w:t>
      </w:r>
      <w:r w:rsidR="00B44FCC" w:rsidRPr="00B44FCC">
        <w:rPr>
          <w:rFonts w:ascii="Times New Roman" w:eastAsia="Calibri" w:hAnsi="Times New Roman" w:cs="Times New Roman"/>
          <w:sz w:val="24"/>
          <w:szCs w:val="24"/>
        </w:rPr>
        <w:t>z 2020 r.</w:t>
      </w:r>
      <w:r w:rsidR="00B44FCC">
        <w:rPr>
          <w:rFonts w:ascii="Times New Roman" w:eastAsia="Calibri" w:hAnsi="Times New Roman" w:cs="Times New Roman"/>
          <w:sz w:val="24"/>
          <w:szCs w:val="24"/>
        </w:rPr>
        <w:t>,</w:t>
      </w:r>
      <w:r w:rsidR="00B44FCC" w:rsidRPr="00B44FCC">
        <w:rPr>
          <w:rFonts w:ascii="Times New Roman" w:eastAsia="Calibri" w:hAnsi="Times New Roman" w:cs="Times New Roman"/>
          <w:sz w:val="24"/>
          <w:szCs w:val="24"/>
        </w:rPr>
        <w:t xml:space="preserve"> poz. 814</w:t>
      </w:r>
      <w:r w:rsidR="00883079">
        <w:rPr>
          <w:rFonts w:ascii="Times New Roman" w:eastAsia="Calibri" w:hAnsi="Times New Roman" w:cs="Times New Roman"/>
          <w:sz w:val="24"/>
          <w:szCs w:val="24"/>
        </w:rPr>
        <w:t>), która</w:t>
      </w:r>
      <w:r>
        <w:rPr>
          <w:rFonts w:ascii="Times New Roman" w:eastAsia="Calibri" w:hAnsi="Times New Roman" w:cs="Times New Roman"/>
          <w:sz w:val="24"/>
          <w:szCs w:val="24"/>
        </w:rPr>
        <w:t xml:space="preserve"> weszła w życie dnia</w:t>
      </w:r>
      <w:r w:rsidRPr="00692C6D">
        <w:rPr>
          <w:rFonts w:ascii="Times New Roman" w:eastAsia="Calibri" w:hAnsi="Times New Roman" w:cs="Times New Roman"/>
          <w:sz w:val="24"/>
          <w:szCs w:val="24"/>
        </w:rPr>
        <w:t xml:space="preserve"> 1 stycznia 2016 roku</w:t>
      </w:r>
      <w:r>
        <w:rPr>
          <w:rFonts w:ascii="Times New Roman" w:eastAsia="Calibri" w:hAnsi="Times New Roman" w:cs="Times New Roman"/>
          <w:sz w:val="24"/>
          <w:szCs w:val="24"/>
        </w:rPr>
        <w:t>, dokonując jednocześnie głębokiej nowelizacji ustawy Praw</w:t>
      </w:r>
      <w:r w:rsidR="00883079">
        <w:rPr>
          <w:rFonts w:ascii="Times New Roman" w:eastAsia="Calibri" w:hAnsi="Times New Roman" w:cs="Times New Roman"/>
          <w:sz w:val="24"/>
          <w:szCs w:val="24"/>
        </w:rPr>
        <w:t xml:space="preserve">o Upadłościowe i Naprawcze. Objęła ona nawet </w:t>
      </w:r>
      <w:r>
        <w:rPr>
          <w:rFonts w:ascii="Times New Roman" w:eastAsia="Calibri" w:hAnsi="Times New Roman" w:cs="Times New Roman"/>
          <w:sz w:val="24"/>
          <w:szCs w:val="24"/>
        </w:rPr>
        <w:t xml:space="preserve">zmianę jej nazwy na </w:t>
      </w:r>
      <w:r w:rsidR="00883079">
        <w:rPr>
          <w:rFonts w:ascii="Times New Roman" w:eastAsia="Calibri" w:hAnsi="Times New Roman" w:cs="Times New Roman"/>
          <w:sz w:val="24"/>
          <w:szCs w:val="24"/>
        </w:rPr>
        <w:t xml:space="preserve">obecnie obowiązującą - </w:t>
      </w:r>
      <w:r>
        <w:rPr>
          <w:rFonts w:ascii="Times New Roman" w:eastAsia="Calibri" w:hAnsi="Times New Roman" w:cs="Times New Roman"/>
          <w:sz w:val="24"/>
          <w:szCs w:val="24"/>
        </w:rPr>
        <w:t xml:space="preserve">Prawo Upadłościowe. </w:t>
      </w:r>
      <w:r w:rsidR="00883079">
        <w:rPr>
          <w:rFonts w:ascii="Times New Roman" w:eastAsia="Calibri" w:hAnsi="Times New Roman" w:cs="Times New Roman"/>
          <w:sz w:val="24"/>
          <w:szCs w:val="24"/>
        </w:rPr>
        <w:t>Podstawowymi zmianami były również</w:t>
      </w:r>
      <w:r>
        <w:rPr>
          <w:rFonts w:ascii="Times New Roman" w:eastAsia="Calibri" w:hAnsi="Times New Roman" w:cs="Times New Roman"/>
          <w:sz w:val="24"/>
          <w:szCs w:val="24"/>
        </w:rPr>
        <w:t xml:space="preserve"> usunięcie z ustawy przepisów dotyczących postępowania naprawczego i likwidację podziału upadłości </w:t>
      </w:r>
      <w:r w:rsidR="00883079">
        <w:rPr>
          <w:rFonts w:ascii="Times New Roman" w:eastAsia="Calibri" w:hAnsi="Times New Roman" w:cs="Times New Roman"/>
          <w:sz w:val="24"/>
          <w:szCs w:val="24"/>
        </w:rPr>
        <w:t>na likwidacyjną i układową. F</w:t>
      </w:r>
      <w:r>
        <w:rPr>
          <w:rFonts w:ascii="Times New Roman" w:eastAsia="Calibri" w:hAnsi="Times New Roman" w:cs="Times New Roman"/>
          <w:sz w:val="24"/>
          <w:szCs w:val="24"/>
        </w:rPr>
        <w:t xml:space="preserve">unkcję postępowania naprawczego i postępowania upadłościowego z możliwością zawarcia układu przejęły cztery postępowania restrukturyzacyjne uregulowane w ustawie Prawo Restrukturyzacyjne. Równocześnie należy zwrócić uwagę  na dynamiczny wzrost </w:t>
      </w:r>
      <w:r w:rsidR="00BC50F8">
        <w:rPr>
          <w:rFonts w:ascii="Times New Roman" w:eastAsia="Calibri" w:hAnsi="Times New Roman" w:cs="Times New Roman"/>
          <w:sz w:val="24"/>
          <w:szCs w:val="24"/>
        </w:rPr>
        <w:t xml:space="preserve">liczby upadłości konsumenckich – będących obecnie </w:t>
      </w:r>
      <w:r w:rsidR="00994D15">
        <w:rPr>
          <w:rFonts w:ascii="Times New Roman" w:eastAsia="Calibri" w:hAnsi="Times New Roman" w:cs="Times New Roman"/>
          <w:sz w:val="24"/>
          <w:szCs w:val="24"/>
        </w:rPr>
        <w:t>najczęstszym</w:t>
      </w:r>
      <w:r w:rsidR="00BC50F8">
        <w:rPr>
          <w:rFonts w:ascii="Times New Roman" w:eastAsia="Calibri" w:hAnsi="Times New Roman" w:cs="Times New Roman"/>
          <w:sz w:val="24"/>
          <w:szCs w:val="24"/>
        </w:rPr>
        <w:t xml:space="preserve"> rodzajem postępowań </w:t>
      </w:r>
      <w:r w:rsidR="00994D15">
        <w:rPr>
          <w:rFonts w:ascii="Times New Roman" w:eastAsia="Calibri" w:hAnsi="Times New Roman" w:cs="Times New Roman"/>
          <w:sz w:val="24"/>
          <w:szCs w:val="24"/>
        </w:rPr>
        <w:t>co mogłoby skłaniać do poważnego rozważenia celowości wyodrębnienia upadłości konsumenckiej w odrębnym akcie prawnym.</w:t>
      </w:r>
    </w:p>
    <w:p w:rsidR="00994D15" w:rsidRDefault="00994D15" w:rsidP="008F5FAF">
      <w:pPr>
        <w:spacing w:after="0" w:line="360" w:lineRule="auto"/>
        <w:ind w:firstLine="360"/>
        <w:jc w:val="both"/>
        <w:rPr>
          <w:rFonts w:ascii="Times New Roman" w:eastAsia="Calibri" w:hAnsi="Times New Roman" w:cs="Times New Roman"/>
          <w:sz w:val="24"/>
          <w:szCs w:val="24"/>
        </w:rPr>
      </w:pPr>
    </w:p>
    <w:p w:rsidR="00883079" w:rsidRDefault="00883079" w:rsidP="008F5FAF">
      <w:pPr>
        <w:spacing w:after="0" w:line="360" w:lineRule="auto"/>
        <w:ind w:firstLine="360"/>
        <w:jc w:val="both"/>
        <w:rPr>
          <w:rFonts w:ascii="Times New Roman" w:eastAsia="Calibri" w:hAnsi="Times New Roman" w:cs="Times New Roman"/>
          <w:sz w:val="24"/>
          <w:szCs w:val="24"/>
        </w:rPr>
      </w:pPr>
    </w:p>
    <w:p w:rsidR="00994D15" w:rsidRPr="00994D15" w:rsidRDefault="00994D15" w:rsidP="00994D15">
      <w:pPr>
        <w:spacing w:after="0" w:line="360" w:lineRule="auto"/>
        <w:ind w:firstLine="360"/>
        <w:jc w:val="right"/>
        <w:rPr>
          <w:rFonts w:ascii="Times New Roman" w:eastAsia="Calibri" w:hAnsi="Times New Roman" w:cs="Times New Roman"/>
          <w:i/>
          <w:sz w:val="24"/>
          <w:szCs w:val="24"/>
        </w:rPr>
      </w:pPr>
      <w:r w:rsidRPr="00994D15">
        <w:rPr>
          <w:rFonts w:ascii="Times New Roman" w:eastAsia="Calibri" w:hAnsi="Times New Roman" w:cs="Times New Roman"/>
          <w:i/>
          <w:sz w:val="24"/>
          <w:szCs w:val="24"/>
        </w:rPr>
        <w:t xml:space="preserve">Dr hab. Piotr </w:t>
      </w:r>
      <w:proofErr w:type="spellStart"/>
      <w:r w:rsidRPr="00994D15">
        <w:rPr>
          <w:rFonts w:ascii="Times New Roman" w:eastAsia="Calibri" w:hAnsi="Times New Roman" w:cs="Times New Roman"/>
          <w:i/>
          <w:sz w:val="24"/>
          <w:szCs w:val="24"/>
        </w:rPr>
        <w:t>Horosz</w:t>
      </w:r>
      <w:proofErr w:type="spellEnd"/>
      <w:r w:rsidRPr="00994D15">
        <w:rPr>
          <w:rFonts w:ascii="Times New Roman" w:eastAsia="Calibri" w:hAnsi="Times New Roman" w:cs="Times New Roman"/>
          <w:i/>
          <w:sz w:val="24"/>
          <w:szCs w:val="24"/>
        </w:rPr>
        <w:t>, prof. UEK</w:t>
      </w:r>
    </w:p>
    <w:p w:rsidR="00726007" w:rsidRDefault="00726007" w:rsidP="00136798">
      <w:pPr>
        <w:spacing w:after="0" w:line="360" w:lineRule="auto"/>
        <w:jc w:val="both"/>
        <w:rPr>
          <w:rFonts w:ascii="Times New Roman" w:eastAsia="Calibri" w:hAnsi="Times New Roman" w:cs="Times New Roman"/>
          <w:sz w:val="24"/>
          <w:szCs w:val="24"/>
        </w:rPr>
      </w:pPr>
      <w:bookmarkStart w:id="0" w:name="_Toc51928195"/>
    </w:p>
    <w:p w:rsidR="00726007" w:rsidRDefault="00726007" w:rsidP="00136798">
      <w:pPr>
        <w:spacing w:after="0" w:line="360" w:lineRule="auto"/>
        <w:jc w:val="both"/>
        <w:rPr>
          <w:rFonts w:ascii="Times New Roman" w:eastAsia="Calibri" w:hAnsi="Times New Roman" w:cs="Times New Roman"/>
          <w:sz w:val="24"/>
          <w:szCs w:val="24"/>
        </w:rPr>
      </w:pPr>
    </w:p>
    <w:p w:rsidR="00726007" w:rsidRDefault="00726007" w:rsidP="00136798">
      <w:pPr>
        <w:spacing w:after="0" w:line="360" w:lineRule="auto"/>
        <w:jc w:val="both"/>
        <w:rPr>
          <w:rFonts w:ascii="Times New Roman" w:eastAsia="Calibri" w:hAnsi="Times New Roman" w:cs="Times New Roman"/>
          <w:sz w:val="24"/>
          <w:szCs w:val="24"/>
        </w:rPr>
      </w:pPr>
    </w:p>
    <w:bookmarkEnd w:id="0"/>
    <w:p w:rsidR="00996774" w:rsidRPr="00692C6D" w:rsidRDefault="00996774" w:rsidP="00136798">
      <w:pPr>
        <w:spacing w:after="0" w:line="360" w:lineRule="auto"/>
        <w:jc w:val="both"/>
        <w:rPr>
          <w:rFonts w:ascii="Times New Roman" w:hAnsi="Times New Roman" w:cs="Times New Roman"/>
          <w:sz w:val="24"/>
          <w:szCs w:val="24"/>
        </w:rPr>
      </w:pPr>
    </w:p>
    <w:sectPr w:rsidR="00996774" w:rsidRPr="00692C6D" w:rsidSect="00CB3E1E">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229" w:rsidRDefault="00A36229" w:rsidP="000F63E5">
      <w:pPr>
        <w:spacing w:after="0" w:line="240" w:lineRule="auto"/>
      </w:pPr>
      <w:r>
        <w:separator/>
      </w:r>
    </w:p>
  </w:endnote>
  <w:endnote w:type="continuationSeparator" w:id="0">
    <w:p w:rsidR="00A36229" w:rsidRDefault="00A36229" w:rsidP="000F6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2836954"/>
      <w:docPartObj>
        <w:docPartGallery w:val="Page Numbers (Bottom of Page)"/>
        <w:docPartUnique/>
      </w:docPartObj>
    </w:sdtPr>
    <w:sdtContent>
      <w:p w:rsidR="00BC50F8" w:rsidRDefault="00B21E64">
        <w:pPr>
          <w:pStyle w:val="Stopka"/>
          <w:jc w:val="right"/>
        </w:pPr>
        <w:fldSimple w:instr=" PAGE   \* MERGEFORMAT ">
          <w:r w:rsidR="00F656A8">
            <w:rPr>
              <w:noProof/>
            </w:rPr>
            <w:t>4</w:t>
          </w:r>
        </w:fldSimple>
      </w:p>
    </w:sdtContent>
  </w:sdt>
  <w:p w:rsidR="00BC50F8" w:rsidRDefault="00BC50F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229" w:rsidRDefault="00A36229" w:rsidP="000F63E5">
      <w:pPr>
        <w:spacing w:after="0" w:line="240" w:lineRule="auto"/>
      </w:pPr>
      <w:r>
        <w:separator/>
      </w:r>
    </w:p>
  </w:footnote>
  <w:footnote w:type="continuationSeparator" w:id="0">
    <w:p w:rsidR="00A36229" w:rsidRDefault="00A36229" w:rsidP="000F63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C535A"/>
    <w:multiLevelType w:val="multilevel"/>
    <w:tmpl w:val="68F63E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EFA1095"/>
    <w:multiLevelType w:val="hybridMultilevel"/>
    <w:tmpl w:val="8B6C0E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1044ED6"/>
    <w:multiLevelType w:val="hybridMultilevel"/>
    <w:tmpl w:val="6CF6A8B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nsid w:val="25310B6C"/>
    <w:multiLevelType w:val="hybridMultilevel"/>
    <w:tmpl w:val="D430DB1E"/>
    <w:lvl w:ilvl="0" w:tplc="09A675D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28A863E3"/>
    <w:multiLevelType w:val="hybridMultilevel"/>
    <w:tmpl w:val="A70E2FA0"/>
    <w:lvl w:ilvl="0" w:tplc="09A67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D494FB8"/>
    <w:multiLevelType w:val="hybridMultilevel"/>
    <w:tmpl w:val="0826137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0F63E5"/>
    <w:rsid w:val="000A58ED"/>
    <w:rsid w:val="000E5771"/>
    <w:rsid w:val="000F5947"/>
    <w:rsid w:val="000F63E5"/>
    <w:rsid w:val="00136798"/>
    <w:rsid w:val="0013681B"/>
    <w:rsid w:val="001569D6"/>
    <w:rsid w:val="00211E82"/>
    <w:rsid w:val="00234402"/>
    <w:rsid w:val="002D33DD"/>
    <w:rsid w:val="002D7BCE"/>
    <w:rsid w:val="004060F3"/>
    <w:rsid w:val="00420D2E"/>
    <w:rsid w:val="004916E3"/>
    <w:rsid w:val="004E2E23"/>
    <w:rsid w:val="00563DE6"/>
    <w:rsid w:val="005E00EC"/>
    <w:rsid w:val="00692C6D"/>
    <w:rsid w:val="00714CD1"/>
    <w:rsid w:val="00726007"/>
    <w:rsid w:val="00746A2E"/>
    <w:rsid w:val="00883079"/>
    <w:rsid w:val="008B67DA"/>
    <w:rsid w:val="008C3EF6"/>
    <w:rsid w:val="008C6C51"/>
    <w:rsid w:val="008E428C"/>
    <w:rsid w:val="008F5FAF"/>
    <w:rsid w:val="00934EC4"/>
    <w:rsid w:val="0098191D"/>
    <w:rsid w:val="00994D15"/>
    <w:rsid w:val="00996774"/>
    <w:rsid w:val="00A36229"/>
    <w:rsid w:val="00B21E64"/>
    <w:rsid w:val="00B44FCC"/>
    <w:rsid w:val="00B85407"/>
    <w:rsid w:val="00BA386E"/>
    <w:rsid w:val="00BB7E62"/>
    <w:rsid w:val="00BC50F8"/>
    <w:rsid w:val="00BD2E92"/>
    <w:rsid w:val="00BF36C2"/>
    <w:rsid w:val="00C03D28"/>
    <w:rsid w:val="00C60CCE"/>
    <w:rsid w:val="00CA122C"/>
    <w:rsid w:val="00CB3E1E"/>
    <w:rsid w:val="00CD4D94"/>
    <w:rsid w:val="00DB0931"/>
    <w:rsid w:val="00F44D5B"/>
    <w:rsid w:val="00F656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3E1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F63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F63E5"/>
    <w:rPr>
      <w:sz w:val="20"/>
      <w:szCs w:val="20"/>
    </w:rPr>
  </w:style>
  <w:style w:type="character" w:styleId="Odwoanieprzypisudolnego">
    <w:name w:val="footnote reference"/>
    <w:basedOn w:val="Domylnaczcionkaakapitu"/>
    <w:uiPriority w:val="99"/>
    <w:rsid w:val="000F63E5"/>
    <w:rPr>
      <w:vertAlign w:val="superscript"/>
    </w:rPr>
  </w:style>
  <w:style w:type="paragraph" w:styleId="Nagwek">
    <w:name w:val="header"/>
    <w:basedOn w:val="Normalny"/>
    <w:link w:val="NagwekZnak"/>
    <w:uiPriority w:val="99"/>
    <w:semiHidden/>
    <w:unhideWhenUsed/>
    <w:rsid w:val="0013679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36798"/>
  </w:style>
  <w:style w:type="paragraph" w:styleId="Stopka">
    <w:name w:val="footer"/>
    <w:basedOn w:val="Normalny"/>
    <w:link w:val="StopkaZnak"/>
    <w:uiPriority w:val="99"/>
    <w:unhideWhenUsed/>
    <w:rsid w:val="001367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6798"/>
  </w:style>
  <w:style w:type="paragraph" w:styleId="Tekstprzypisukocowego">
    <w:name w:val="endnote text"/>
    <w:basedOn w:val="Normalny"/>
    <w:link w:val="TekstprzypisukocowegoZnak"/>
    <w:uiPriority w:val="99"/>
    <w:semiHidden/>
    <w:unhideWhenUsed/>
    <w:rsid w:val="00F44D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44D5B"/>
    <w:rPr>
      <w:sz w:val="20"/>
      <w:szCs w:val="20"/>
    </w:rPr>
  </w:style>
  <w:style w:type="character" w:styleId="Odwoanieprzypisukocowego">
    <w:name w:val="endnote reference"/>
    <w:basedOn w:val="Domylnaczcionkaakapitu"/>
    <w:uiPriority w:val="99"/>
    <w:semiHidden/>
    <w:unhideWhenUsed/>
    <w:rsid w:val="00F44D5B"/>
    <w:rPr>
      <w:vertAlign w:val="superscript"/>
    </w:rPr>
  </w:style>
  <w:style w:type="paragraph" w:styleId="Akapitzlist">
    <w:name w:val="List Paragraph"/>
    <w:basedOn w:val="Normalny"/>
    <w:uiPriority w:val="34"/>
    <w:qFormat/>
    <w:rsid w:val="00F44D5B"/>
    <w:pPr>
      <w:ind w:left="720"/>
      <w:contextualSpacing/>
    </w:pPr>
  </w:style>
  <w:style w:type="character" w:styleId="Hipercze">
    <w:name w:val="Hyperlink"/>
    <w:basedOn w:val="Domylnaczcionkaakapitu"/>
    <w:uiPriority w:val="99"/>
    <w:unhideWhenUsed/>
    <w:rsid w:val="00934E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ndex.php?title=Sejsachateja&amp;action=edit&amp;redlink=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A3E1E-78C1-4223-A783-033607F9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4244</Words>
  <Characters>25467</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AGH_PPH</dc:creator>
  <cp:lastModifiedBy>AGH_PPH</cp:lastModifiedBy>
  <cp:revision>5</cp:revision>
  <dcterms:created xsi:type="dcterms:W3CDTF">2020-10-12T20:03:00Z</dcterms:created>
  <dcterms:modified xsi:type="dcterms:W3CDTF">2020-10-14T09:34:00Z</dcterms:modified>
</cp:coreProperties>
</file>