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85CFE" w14:textId="77777777" w:rsidR="00F141CE" w:rsidRPr="00F141CE" w:rsidRDefault="00F141CE" w:rsidP="00F141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8EFC6E" w14:textId="5DC6CB3B" w:rsidR="00F141CE" w:rsidRPr="00F141CE" w:rsidRDefault="00F141CE" w:rsidP="00BA5A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14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RESTRUKTURYZACYJNE</w:t>
      </w:r>
      <w:r w:rsidR="009D10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D1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="009D10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z.2 – ZAKRES PRZEDMIOTOWY I PODMIOTOWY, RODZAJE POSTĘPOWAŃ</w:t>
      </w:r>
    </w:p>
    <w:p w14:paraId="3707491A" w14:textId="79499B82" w:rsidR="00F141CE" w:rsidRDefault="00F141CE" w:rsidP="00F141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DFBF0B" w14:textId="3A567BF7" w:rsidR="006D1E79" w:rsidRPr="00BA5AE9" w:rsidRDefault="006D1E79" w:rsidP="006D1E7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A5A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przedmiotowy ustawy</w:t>
      </w:r>
    </w:p>
    <w:p w14:paraId="77D70531" w14:textId="77777777" w:rsidR="00F141CE" w:rsidRPr="00F141CE" w:rsidRDefault="00F141CE" w:rsidP="00F141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EF13E0" w14:textId="37775D78" w:rsidR="00F141CE" w:rsidRPr="00F141CE" w:rsidRDefault="006D1E79" w:rsidP="00F141C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przedmiotowy ustawy z </w:t>
      </w:r>
      <w:r w:rsidR="00F141CE" w:rsidRPr="00F14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15 maja 2015 r. Prawo restrukturyzacyjne (dalej </w:t>
      </w:r>
      <w:proofErr w:type="spellStart"/>
      <w:r w:rsidR="00F141CE" w:rsidRPr="00F141C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F141CE" w:rsidRPr="00F141C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estr</w:t>
      </w:r>
      <w:proofErr w:type="spellEnd"/>
      <w:r w:rsidR="00F141CE" w:rsidRPr="00F141C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wyznacza przede wszystkim jej art. 1, w myśl którego p</w:t>
      </w:r>
      <w:r w:rsidR="00F141CE" w:rsidRPr="00F141CE">
        <w:rPr>
          <w:rFonts w:ascii="Times New Roman" w:eastAsia="Times New Roman" w:hAnsi="Times New Roman" w:cs="Times New Roman"/>
          <w:sz w:val="24"/>
          <w:szCs w:val="24"/>
          <w:lang w:eastAsia="pl-PL"/>
        </w:rPr>
        <w:t>rzepisy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</w:t>
      </w:r>
      <w:r w:rsidR="00F141CE" w:rsidRPr="00F14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regulują:</w:t>
      </w:r>
    </w:p>
    <w:p w14:paraId="04DA4195" w14:textId="77777777" w:rsidR="00F141CE" w:rsidRPr="00F141CE" w:rsidRDefault="00F141CE" w:rsidP="00F141C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1CE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zawieranie przez dłużnika niewypłacalnego lub zagrożonego niewypłacalnością układu z wierzycielami oraz skutki takiego układu;</w:t>
      </w:r>
    </w:p>
    <w:p w14:paraId="54D02711" w14:textId="25532621" w:rsidR="00105626" w:rsidRDefault="00F141CE" w:rsidP="0010562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1CE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przeprowadzanie działań sanacyjnych.</w:t>
      </w:r>
    </w:p>
    <w:p w14:paraId="01EA8560" w14:textId="1347C192" w:rsidR="00105626" w:rsidRDefault="00105626" w:rsidP="0010562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C7DCBA" w14:textId="77777777" w:rsidR="00105626" w:rsidRPr="00F141CE" w:rsidRDefault="00105626" w:rsidP="001056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restrukturyzacyjne reguluje </w:t>
      </w:r>
      <w:r w:rsidRPr="00F141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cztery rodzaje postępowań, obejmowanych wspólną nazwą postępowań restrukturyzacyjnych</w:t>
      </w:r>
      <w:r w:rsidRPr="00F14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mogą być prowadzone </w:t>
      </w:r>
      <w:r w:rsidRPr="00F141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zarówno w stosunku do dłużników niewypłacalnych, jak i takich, którzy są dopiero zagrożeni niewypłacalnością</w:t>
      </w:r>
      <w:r w:rsidRPr="00F141CE">
        <w:rPr>
          <w:rFonts w:ascii="Times New Roman" w:eastAsia="Times New Roman" w:hAnsi="Times New Roman" w:cs="Times New Roman"/>
          <w:sz w:val="24"/>
          <w:szCs w:val="24"/>
          <w:lang w:eastAsia="pl-PL"/>
        </w:rPr>
        <w:t>, zmierzających do uniknięcia ogłoszenia upadłości dłużnika przez umożliwienie mu restrukturyzacji w drodze zawarcia układu z wierzycielami, a w przypadku postępowania sanacyjnego – również przez przeprowadzenie działań sanacyjnych, przy zabezpieczeniu słusznych praw wierzycieli.</w:t>
      </w:r>
    </w:p>
    <w:p w14:paraId="076B9DD8" w14:textId="4374DA68" w:rsidR="00105626" w:rsidRDefault="00105626" w:rsidP="001056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cztery rodzaje postępowań restrukturyzacyjnych podporządkowane są zatem </w:t>
      </w:r>
      <w:r w:rsidRPr="00F141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temu samemu celowi, którym jest uniknięcie ogłoszenia upadłości dłużnika</w:t>
      </w:r>
      <w:r w:rsidRPr="00F14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umożliwienie mu restrukturyzacji w drodze zawarcia układu z wierzycielami, a w przypadku postępowania sanacyjnego – również przez przeprowadzenie działań sanacyjnych, przy zabezpieczeniu słusznych praw wierzycieli. Postępowania te mogą być połączone z tzw. działaniami sanacyjnymi, którymi, zgodnie z art. 3 ust. 6 </w:t>
      </w:r>
      <w:proofErr w:type="spellStart"/>
      <w:r w:rsidRPr="00F141C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92640D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F141C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92640D">
        <w:rPr>
          <w:rFonts w:ascii="Times New Roman" w:eastAsia="Times New Roman" w:hAnsi="Times New Roman" w:cs="Times New Roman"/>
          <w:sz w:val="24"/>
          <w:szCs w:val="24"/>
          <w:lang w:eastAsia="pl-PL"/>
        </w:rPr>
        <w:t>estr</w:t>
      </w:r>
      <w:proofErr w:type="spellEnd"/>
      <w:r w:rsidRPr="00F14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czynności prawne i faktyczne, które zmierzają do poprawy sytuacji ekonomicznej dłużnika i mają na celu przywrócenie dłużnikowi zdolności do wykonywania zobowiązań, przy jednoczesnej ochronie przed egzekucją.</w:t>
      </w:r>
    </w:p>
    <w:p w14:paraId="2AD8E5F0" w14:textId="22DE80E2" w:rsidR="00105626" w:rsidRDefault="00105626" w:rsidP="001056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0322E3" w14:textId="5F7FE756" w:rsidR="00105626" w:rsidRPr="00105626" w:rsidRDefault="00105626" w:rsidP="0010562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056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Rodzaje postępowań restrukturyzacyjnych</w:t>
      </w:r>
    </w:p>
    <w:p w14:paraId="565B6FB2" w14:textId="0CD8DC47" w:rsidR="00105626" w:rsidRDefault="00105626" w:rsidP="001056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D341A8" w14:textId="17072A5C" w:rsidR="00F141CE" w:rsidRPr="00F141CE" w:rsidRDefault="00F141CE" w:rsidP="0010562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1C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2 ustawy restrukturyzację przeprowadza się w następujących postępowaniach restrukturyzacyjnych:</w:t>
      </w:r>
    </w:p>
    <w:p w14:paraId="388ACAAF" w14:textId="77777777" w:rsidR="00F141CE" w:rsidRPr="00F141CE" w:rsidRDefault="00F141CE" w:rsidP="00F141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postępowaniu o zatwierdzenie układu; </w:t>
      </w:r>
    </w:p>
    <w:p w14:paraId="3F8E70C5" w14:textId="77777777" w:rsidR="00F141CE" w:rsidRPr="00F141CE" w:rsidRDefault="00F141CE" w:rsidP="00F141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1C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2) przyspieszonym postępowaniu układowym; </w:t>
      </w:r>
    </w:p>
    <w:p w14:paraId="5688FD32" w14:textId="77777777" w:rsidR="00F141CE" w:rsidRPr="00F141CE" w:rsidRDefault="00F141CE" w:rsidP="00F141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postępowaniu układowym; </w:t>
      </w:r>
    </w:p>
    <w:p w14:paraId="01C04BF1" w14:textId="08F0DA2D" w:rsidR="00F141CE" w:rsidRPr="00F141CE" w:rsidRDefault="00F141CE" w:rsidP="001056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1CE">
        <w:rPr>
          <w:rFonts w:ascii="Times New Roman" w:eastAsia="Times New Roman" w:hAnsi="Times New Roman" w:cs="Times New Roman"/>
          <w:sz w:val="24"/>
          <w:szCs w:val="24"/>
          <w:lang w:eastAsia="pl-PL"/>
        </w:rPr>
        <w:t>4) postępowaniu sanacyjnym.</w:t>
      </w:r>
      <w:r w:rsidRPr="00F141C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77CC5F3" w14:textId="77777777" w:rsidR="00105626" w:rsidRDefault="00F141CE" w:rsidP="00F141CE">
      <w:pPr>
        <w:tabs>
          <w:tab w:val="left" w:pos="0"/>
          <w:tab w:val="left" w:pos="709"/>
        </w:tabs>
        <w:spacing w:after="0" w:line="360" w:lineRule="auto"/>
        <w:ind w:right="-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1C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1010640" w14:textId="113F046F" w:rsidR="00F141CE" w:rsidRDefault="00105626" w:rsidP="00F141CE">
      <w:pPr>
        <w:tabs>
          <w:tab w:val="left" w:pos="0"/>
          <w:tab w:val="left" w:pos="709"/>
        </w:tabs>
        <w:spacing w:after="0" w:line="360" w:lineRule="auto"/>
        <w:ind w:right="-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141CE" w:rsidRPr="00F14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Wspólną cechą tych postępowań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="00F141CE" w:rsidRPr="00F14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dokonywana w ich ramach restrukturyzacja przedsiębiorstwa dłużnika – w pierwszej kolejności jego zobowiązań, a ponadto, w różnym stopniu, jego majątku, sposobu zarządzania przedsiębiorstwem oraz zatrudnienia. Przewidziane postępowania mają zapewnić możliwość wyboru formy restrukturyzacji dostosowanej do potrzeb konkretnego przedsiębiorstwa, w konkretnej sytuacji finansowej. </w:t>
      </w:r>
    </w:p>
    <w:p w14:paraId="425787A2" w14:textId="32FB19A3" w:rsidR="00AE06CE" w:rsidRDefault="00AE06CE" w:rsidP="00F141CE">
      <w:pPr>
        <w:tabs>
          <w:tab w:val="left" w:pos="0"/>
          <w:tab w:val="left" w:pos="709"/>
        </w:tabs>
        <w:spacing w:after="0" w:line="360" w:lineRule="auto"/>
        <w:ind w:right="-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56AD96" w14:textId="77777777" w:rsidR="00AE06CE" w:rsidRDefault="00AE06CE" w:rsidP="00F141CE">
      <w:pPr>
        <w:tabs>
          <w:tab w:val="left" w:pos="0"/>
          <w:tab w:val="left" w:pos="709"/>
        </w:tabs>
        <w:spacing w:after="0" w:line="360" w:lineRule="auto"/>
        <w:ind w:right="-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6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o zatwierdzenie układu: </w:t>
      </w:r>
    </w:p>
    <w:p w14:paraId="7D56513F" w14:textId="77777777" w:rsidR="00AE06CE" w:rsidRDefault="00AE06CE" w:rsidP="00F141CE">
      <w:pPr>
        <w:tabs>
          <w:tab w:val="left" w:pos="0"/>
          <w:tab w:val="left" w:pos="709"/>
        </w:tabs>
        <w:spacing w:after="0" w:line="360" w:lineRule="auto"/>
        <w:ind w:right="-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6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umożliwia zawarcie układu w wyniku samodzielnego zbierania głosów wierzycieli przez dłużnika bez udziału sądu; </w:t>
      </w:r>
    </w:p>
    <w:p w14:paraId="6613419A" w14:textId="58D20734" w:rsidR="00AE06CE" w:rsidRDefault="00AE06CE" w:rsidP="00F141CE">
      <w:pPr>
        <w:tabs>
          <w:tab w:val="left" w:pos="0"/>
          <w:tab w:val="left" w:pos="709"/>
        </w:tabs>
        <w:spacing w:after="0" w:line="360" w:lineRule="auto"/>
        <w:ind w:right="-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6CE">
        <w:rPr>
          <w:rFonts w:ascii="Times New Roman" w:eastAsia="Times New Roman" w:hAnsi="Times New Roman" w:cs="Times New Roman"/>
          <w:sz w:val="24"/>
          <w:szCs w:val="24"/>
          <w:lang w:eastAsia="pl-PL"/>
        </w:rPr>
        <w:t>2) może być prowadzone, jeżeli suma wierzytelności spornych uprawniających do głosowania nad układem nie przekracza 15% sumy wierzytelności uprawniających do głosowania nad układem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D7564D9" w14:textId="77777777" w:rsidR="00AE06CE" w:rsidRDefault="00AE06CE" w:rsidP="00F141CE">
      <w:pPr>
        <w:tabs>
          <w:tab w:val="left" w:pos="0"/>
          <w:tab w:val="left" w:pos="709"/>
        </w:tabs>
        <w:spacing w:after="0" w:line="360" w:lineRule="auto"/>
        <w:ind w:right="-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5C72C9" w14:textId="77777777" w:rsidR="00AE06CE" w:rsidRDefault="00AE06CE" w:rsidP="00F141CE">
      <w:pPr>
        <w:tabs>
          <w:tab w:val="left" w:pos="0"/>
          <w:tab w:val="left" w:pos="709"/>
        </w:tabs>
        <w:spacing w:after="0" w:line="360" w:lineRule="auto"/>
        <w:ind w:right="-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6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Przyspieszone postępowanie układowe: </w:t>
      </w:r>
    </w:p>
    <w:p w14:paraId="57C74CB8" w14:textId="77777777" w:rsidR="00AE06CE" w:rsidRDefault="00AE06CE" w:rsidP="00F141CE">
      <w:pPr>
        <w:tabs>
          <w:tab w:val="left" w:pos="0"/>
          <w:tab w:val="left" w:pos="709"/>
        </w:tabs>
        <w:spacing w:after="0" w:line="360" w:lineRule="auto"/>
        <w:ind w:right="-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6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umożliwia dłużnikowi zawarcie układu po sporządzeniu i zatwierdzeniu spisu wierzytelności w uproszczonym trybie; </w:t>
      </w:r>
    </w:p>
    <w:p w14:paraId="0C6B2B3D" w14:textId="67AC4B07" w:rsidR="00AE06CE" w:rsidRDefault="00AE06CE" w:rsidP="00F141CE">
      <w:pPr>
        <w:tabs>
          <w:tab w:val="left" w:pos="0"/>
          <w:tab w:val="left" w:pos="709"/>
        </w:tabs>
        <w:spacing w:after="0" w:line="360" w:lineRule="auto"/>
        <w:ind w:right="-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6CE">
        <w:rPr>
          <w:rFonts w:ascii="Times New Roman" w:eastAsia="Times New Roman" w:hAnsi="Times New Roman" w:cs="Times New Roman"/>
          <w:sz w:val="24"/>
          <w:szCs w:val="24"/>
          <w:lang w:eastAsia="pl-PL"/>
        </w:rPr>
        <w:t>2) może być prowadzone, jeżeli suma wierzytelności spornych uprawniających do głosowania nad układem nie przekracza 15% sumy wierzytelności uprawniających do głosowania nad układem</w:t>
      </w:r>
    </w:p>
    <w:p w14:paraId="233E4443" w14:textId="13D70E61" w:rsidR="00AE06CE" w:rsidRDefault="00AE06CE" w:rsidP="00F141CE">
      <w:pPr>
        <w:tabs>
          <w:tab w:val="left" w:pos="0"/>
          <w:tab w:val="left" w:pos="709"/>
        </w:tabs>
        <w:spacing w:after="0" w:line="360" w:lineRule="auto"/>
        <w:ind w:right="-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FD952C" w14:textId="77777777" w:rsidR="00AE06CE" w:rsidRDefault="00AE06CE" w:rsidP="00F141CE">
      <w:pPr>
        <w:tabs>
          <w:tab w:val="left" w:pos="0"/>
          <w:tab w:val="left" w:pos="709"/>
        </w:tabs>
        <w:spacing w:after="0" w:line="360" w:lineRule="auto"/>
        <w:ind w:right="-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6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układowe: </w:t>
      </w:r>
    </w:p>
    <w:p w14:paraId="3DD9D983" w14:textId="77777777" w:rsidR="00AE06CE" w:rsidRDefault="00AE06CE" w:rsidP="00F141CE">
      <w:pPr>
        <w:tabs>
          <w:tab w:val="left" w:pos="0"/>
          <w:tab w:val="left" w:pos="709"/>
        </w:tabs>
        <w:spacing w:after="0" w:line="360" w:lineRule="auto"/>
        <w:ind w:right="-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6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umożliwia dłużnikowi zawarcie układu po sporządzeniu i zatwierdzeniu spisu wierzytelności; </w:t>
      </w:r>
    </w:p>
    <w:p w14:paraId="3C4F696B" w14:textId="697A4317" w:rsidR="00AE06CE" w:rsidRDefault="00AE06CE" w:rsidP="00F141CE">
      <w:pPr>
        <w:tabs>
          <w:tab w:val="left" w:pos="0"/>
          <w:tab w:val="left" w:pos="709"/>
        </w:tabs>
        <w:spacing w:after="0" w:line="360" w:lineRule="auto"/>
        <w:ind w:right="-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6CE">
        <w:rPr>
          <w:rFonts w:ascii="Times New Roman" w:eastAsia="Times New Roman" w:hAnsi="Times New Roman" w:cs="Times New Roman"/>
          <w:sz w:val="24"/>
          <w:szCs w:val="24"/>
          <w:lang w:eastAsia="pl-PL"/>
        </w:rPr>
        <w:t>2) może być prowadzone, jeżeli suma wierzytelności spornych uprawniających do głosowania nad układem przekracza 15% sumy wierzytelności uprawniających do głosowania nad układem</w:t>
      </w:r>
    </w:p>
    <w:p w14:paraId="126CB4A8" w14:textId="6F5B48B3" w:rsidR="00AE06CE" w:rsidRDefault="00AE06CE" w:rsidP="00F141CE">
      <w:pPr>
        <w:tabs>
          <w:tab w:val="left" w:pos="0"/>
          <w:tab w:val="left" w:pos="709"/>
        </w:tabs>
        <w:spacing w:after="0" w:line="360" w:lineRule="auto"/>
        <w:ind w:right="-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00F9A9" w14:textId="4BF7ED07" w:rsidR="00AE06CE" w:rsidRPr="00F141CE" w:rsidRDefault="00AE06CE" w:rsidP="00F141CE">
      <w:pPr>
        <w:tabs>
          <w:tab w:val="left" w:pos="0"/>
          <w:tab w:val="left" w:pos="709"/>
        </w:tabs>
        <w:spacing w:after="0" w:line="360" w:lineRule="auto"/>
        <w:ind w:right="-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E06CE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sanacyjne umożliwia dłużnikowi przeprowadzenie działań sanacyjnych oraz zawarcie układu po sporządzeniu i zatwierdzeniu spisu wierzytelności.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06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Działaniami sanacyjnymi są czynności prawne i faktyczne, które zmierzają do poprawy sytuacji </w:t>
      </w:r>
      <w:r w:rsidRPr="00AE06C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ekonomicznej dłużnika i mają na celu przywrócenie dłużnikowi zdolności do wykonywania zobowiązań, przy jednoczesnej ochronie przed egzekucją</w:t>
      </w:r>
    </w:p>
    <w:p w14:paraId="40800347" w14:textId="616C0915" w:rsidR="00037BFA" w:rsidRDefault="00037BFA" w:rsidP="00037BFA">
      <w:pPr>
        <w:keepNext/>
        <w:keepLines/>
        <w:spacing w:before="120" w:after="12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wszystkich postępowań restrukturyzacyjnych mają zastosowanie te same regulacje dotyczące zakresu wierzytelności objętych układem, propozycji układowych, zawarcia i zatwierdzenia układu i jego skutków, a także </w:t>
      </w:r>
      <w:r w:rsidRPr="00037B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zasady zmian</w:t>
      </w:r>
      <w:r w:rsidRPr="00037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uchylenia układu. </w:t>
      </w:r>
    </w:p>
    <w:p w14:paraId="08A564FE" w14:textId="77777777" w:rsidR="00037BFA" w:rsidRDefault="00037BFA" w:rsidP="00037BFA">
      <w:pPr>
        <w:keepNext/>
        <w:keepLines/>
        <w:spacing w:before="120" w:after="12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F57830" w14:textId="4011F28F" w:rsidR="00105626" w:rsidRDefault="00105626" w:rsidP="00F141CE">
      <w:pPr>
        <w:pStyle w:val="Akapitzlist"/>
        <w:keepNext/>
        <w:keepLines/>
        <w:numPr>
          <w:ilvl w:val="0"/>
          <w:numId w:val="4"/>
        </w:numPr>
        <w:spacing w:before="120"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056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podmiotowy Prawa restrukturyzacyjneg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</w:p>
    <w:p w14:paraId="41E3185C" w14:textId="6BA1F530" w:rsidR="00105626" w:rsidRDefault="00105626" w:rsidP="00105626">
      <w:pPr>
        <w:keepNext/>
        <w:keepLines/>
        <w:spacing w:before="120"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8FD9839" w14:textId="41DD450C" w:rsidR="00AE06CE" w:rsidRPr="00F141CE" w:rsidRDefault="00105626" w:rsidP="00AE06C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Podmiotowy zakres ustawy wyznacza </w:t>
      </w:r>
      <w:r w:rsidR="00AE06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jej art. 4, wskazujący w ust. 1 podmioty do których stosuje się przepisy ustawy (czyli posiadające </w:t>
      </w:r>
      <w:r w:rsidR="00AE06CE" w:rsidRPr="00AE06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zdolność restrukturyzacyjną</w:t>
      </w:r>
      <w:r w:rsidR="00AE06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a zarazem wymieniający w ust. 2 podmioty, do których przepisy ustawy nie znajdują zastosowania (pozbawione zdolności restrukturyzacyjnej).  </w:t>
      </w:r>
      <w:r w:rsidR="00AE06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="00AE06CE" w:rsidRPr="00F141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godnie z art. 4 ust. 1 </w:t>
      </w:r>
      <w:proofErr w:type="spellStart"/>
      <w:r w:rsidR="00AE06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PrRestr</w:t>
      </w:r>
      <w:proofErr w:type="spellEnd"/>
      <w:r w:rsidR="00AE06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jej przepisy </w:t>
      </w:r>
      <w:r w:rsidR="00AE06CE" w:rsidRPr="00F141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stosuje się </w:t>
      </w:r>
      <w:r w:rsidR="00AE06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zatem</w:t>
      </w:r>
      <w:r w:rsidR="00AE06CE" w:rsidRPr="00F141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do: </w:t>
      </w:r>
    </w:p>
    <w:p w14:paraId="13C5AFA8" w14:textId="77777777" w:rsidR="00AE06CE" w:rsidRPr="00F141CE" w:rsidRDefault="00AE06CE" w:rsidP="00AE06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141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przedsiębiorców w rozumieniu Kodeksu cywilnego;</w:t>
      </w:r>
    </w:p>
    <w:p w14:paraId="21F0778E" w14:textId="69F4F3FE" w:rsidR="00AE06CE" w:rsidRPr="00F141CE" w:rsidRDefault="00AE06CE" w:rsidP="00AE06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141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spółek z ograniczoną odpowiedzialnością</w:t>
      </w:r>
      <w:r w:rsidR="001744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1744F5" w:rsidRPr="006A71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prostych spółek akcyjnych</w:t>
      </w:r>
      <w:r w:rsidR="00037B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141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spółek akcyjnych nieprowadzących działalności gospodarczej; </w:t>
      </w:r>
    </w:p>
    <w:p w14:paraId="21274CEB" w14:textId="77777777" w:rsidR="00AE06CE" w:rsidRPr="00F141CE" w:rsidRDefault="00AE06CE" w:rsidP="00AE06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141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 wspólników osobowych spółek handlowych ponoszących odpowiedzialność za zobowiązania spółki bez ograniczenia całym swoim majątkiem; </w:t>
      </w:r>
    </w:p>
    <w:p w14:paraId="7BBE8E09" w14:textId="77777777" w:rsidR="00AE06CE" w:rsidRPr="00F141CE" w:rsidRDefault="00AE06CE" w:rsidP="00AE06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1CE">
        <w:rPr>
          <w:rFonts w:ascii="Times New Roman" w:eastAsia="Times New Roman" w:hAnsi="Times New Roman" w:cs="Times New Roman"/>
          <w:sz w:val="24"/>
          <w:szCs w:val="24"/>
          <w:lang w:eastAsia="pl-PL"/>
        </w:rPr>
        <w:t>4) wspólników spółki partnerskiej.</w:t>
      </w:r>
    </w:p>
    <w:p w14:paraId="5000D815" w14:textId="30594BE3" w:rsidR="00081831" w:rsidRPr="00F141CE" w:rsidRDefault="00AE06CE" w:rsidP="000818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 zwrócić uwagę, że </w:t>
      </w:r>
      <w:r w:rsidR="001744F5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zdolności restrukturyzacyjnej jest w aktualnym stanie prawnym  węższy niż zdolności upadłościowej – odpowiadając natomiast co do zasady zakresowi podmiotów wobec których może być prowadzone ogólne postępowani</w:t>
      </w:r>
      <w:r w:rsidR="006A710E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1744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upadłościowe. </w:t>
      </w:r>
      <w:r w:rsidR="00081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Zdolności restrukturyzacyjnej nie posiadają w szczególności </w:t>
      </w:r>
      <w:r w:rsidR="00081831" w:rsidRPr="00F141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</w:t>
      </w:r>
      <w:r w:rsidR="000818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081831" w:rsidRPr="00F141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</w:t>
      </w:r>
      <w:r w:rsidR="000818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="00081831" w:rsidRPr="00F141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fizyczn</w:t>
      </w:r>
      <w:r w:rsidR="000818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081831" w:rsidRPr="00F141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nieprowadząc</w:t>
      </w:r>
      <w:r w:rsidR="000818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081831" w:rsidRPr="00F141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działalności gospodarczej</w:t>
      </w:r>
      <w:r w:rsidR="000818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a zatem na gruncie prawa restrukturyzacyjnego brak jest jakiejś „restrukturyzacji konsumenckiej”.</w:t>
      </w:r>
      <w:r w:rsidR="00081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1831" w:rsidRPr="00F141CE"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Zdolności</w:t>
      </w:r>
      <w:r w:rsidR="00081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restrukturyzacyjnej</w:t>
      </w:r>
      <w:r w:rsidR="00081831" w:rsidRPr="00F14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posiada</w:t>
      </w:r>
      <w:r w:rsidR="00081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również szereg podmiotów wymienionych w art. 4 ust. 2 </w:t>
      </w:r>
      <w:proofErr w:type="spellStart"/>
      <w:r w:rsidR="00081831">
        <w:rPr>
          <w:rFonts w:ascii="Times New Roman" w:eastAsia="Times New Roman" w:hAnsi="Times New Roman" w:cs="Times New Roman"/>
          <w:sz w:val="24"/>
          <w:szCs w:val="24"/>
          <w:lang w:eastAsia="pl-PL"/>
        </w:rPr>
        <w:t>PrRestr</w:t>
      </w:r>
      <w:proofErr w:type="spellEnd"/>
      <w:r w:rsidR="00081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m.in.,</w:t>
      </w:r>
      <w:r w:rsidR="00081831" w:rsidRPr="00F14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Skarb Państwa i jednostki samorządu terytorialnego, banki </w:t>
      </w:r>
      <w:r w:rsidR="00081831">
        <w:rPr>
          <w:rFonts w:ascii="Times New Roman" w:eastAsia="Times New Roman" w:hAnsi="Times New Roman" w:cs="Times New Roman"/>
          <w:sz w:val="24"/>
          <w:szCs w:val="24"/>
          <w:lang w:eastAsia="pl-PL"/>
        </w:rPr>
        <w:t>krajowe,</w:t>
      </w:r>
      <w:r w:rsidR="00081831" w:rsidRPr="00F14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1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SKOK-i, </w:t>
      </w:r>
      <w:r w:rsidR="00081831" w:rsidRPr="00F141CE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zakłady ubezpieczeń i zakłady reasekuracji, a także fundusze inwestycyjne</w:t>
      </w:r>
      <w:r w:rsidR="00037B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941E6C4" w14:textId="560474C2" w:rsidR="002A4FBC" w:rsidRDefault="001744F5" w:rsidP="00037BF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F14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ostępowania restrukturyzacyjne mogą być prowadzone zarówno wobec dłużnika niewypłacalnego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jak</w:t>
      </w:r>
      <w:r w:rsidRPr="00F14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też dłużnika dopiero zagrożonego niewypłacalnością.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4FBC">
        <w:rPr>
          <w:rFonts w:ascii="Times New Roman" w:eastAsia="Times New Roman" w:hAnsi="Times New Roman" w:cs="Times New Roman"/>
          <w:sz w:val="24"/>
          <w:szCs w:val="24"/>
          <w:lang w:eastAsia="pl-PL"/>
        </w:rPr>
        <w:t>Ustawodawca nie formułuje przy tym w PR pojęcia niewypłacalności, odwołując się w tym zakresie, na mocy art. 6 ust. 2 PR do przepisów PU.</w:t>
      </w:r>
    </w:p>
    <w:p w14:paraId="14133AE9" w14:textId="77777777" w:rsidR="002A4FBC" w:rsidRDefault="002A4FBC" w:rsidP="00037BF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ED5F2D" w14:textId="6C7F7B03" w:rsidR="002A4FBC" w:rsidRPr="002A4FBC" w:rsidRDefault="002A4FBC" w:rsidP="002A4F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2A4FBC">
        <w:rPr>
          <w:rFonts w:ascii="Times New Roman" w:eastAsia="Times New Roman" w:hAnsi="Times New Roman" w:cs="Times New Roman"/>
          <w:sz w:val="24"/>
          <w:szCs w:val="24"/>
          <w:lang w:eastAsia="pl-PL"/>
        </w:rPr>
        <w:t>efinicja niewypłacalności zawarta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została</w:t>
      </w:r>
      <w:r w:rsidRPr="002A4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art. 11 PU</w:t>
      </w:r>
      <w:bookmarkStart w:id="0" w:name="_Hlk6609509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Przepis </w:t>
      </w:r>
      <w:r w:rsidRPr="002A4FBC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11 ust. 1 PU, stanowi, że dłużnik jest niewypłacalny, jeżeli utracił zdolność do wykonywania swoich wymagalnych zobowiązań pieniężnych. Celem uniknięcia wątpliwości interpretacyjnych ustawodawca wprowadza ponadto w art. 11 ust. 1a  domniemanie, w myśl którego uznaje się, że dłużnik utracił zdolność do wykonywania swoich wymagalnych zobowiązań pieniężnych, jeżeli opóźnienie w wykonaniu zobowiązań pieniężnych przekracza trzy miesiące. Rozumienie niewypłacalności jako stanu utraty przez dłużnika zdolności do wykonywania wymagalnych zobowiązań pieniężnych (na co, w myśl domniemania z ust. 1a wskazuje opóźnienie w ich wykonaniu, przekraczające trzy miesiące) odnosi się przy tym do wszystkich dłużników, posiadających zdolność upadłościową – przesłanka ta, jako zasadnicza podstawa ogłoszenia upadłości, ma zatem charakter podstawowy i powszechny.</w:t>
      </w:r>
    </w:p>
    <w:p w14:paraId="76692526" w14:textId="719F242A" w:rsidR="002A4FBC" w:rsidRPr="002A4FBC" w:rsidRDefault="002A4FBC" w:rsidP="002A4F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art. 11 ust. 2 PU ustawodawca wprowadza dodatkową, niezależną przesłankę niewypłacalności, odnoszącą się wyłącznie do dłużnika będącego osobą prawną albo jednostką organizacyjną nieposiadającą osobowości prawnej, której odrębna ustawa przyznaje zdolność prawną. Z mocy art. 11 ust. 2 PU dłużnik taki jest niewypłacalny także wtedy, gdy jego zobowiązania pieniężne przekraczają wartość jego majątku, a stan ten utrzymuje się przez okres przekraczający dwadzieścia cztery miesiące. W ust. 5 ustawodawca ustanawia domniemanie, w myśl którego zobowiązania pieniężne dłużnika przekraczają wartość jego majątku, jeżeli zgodnie z bilansem jego zobowiązania, z wyłączeniem rezerw na zobowiązania oraz zobowiązań wobec jednostek powiązanych, przekraczają wartość jego aktywów, a stan ten utrzymuje się przez okres przekraczający dwadzieścia cztery miesiące.  Bierze się przy tym pod uwagę </w:t>
      </w:r>
      <w:r w:rsidRPr="002A4FBC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co do zasady wszystkie zobowiązania danego dłużnika — nie tylko wymagalne, ale także te, których termin płatności jeszcze nie nadszedł. Z mocy art. 11 ust. 4 PU do  tych zobowiązań pieniężnych, nie wlicza się jednak zobowiązań przyszłych, w tym zobowiązań pod warunkiem zawieszającym oraz zobowiązań wobec wspólnika albo akcjonariusza z tytułu pożyczki lub innej czynności prawnej o podobnych skutkach.</w:t>
      </w:r>
    </w:p>
    <w:p w14:paraId="3AC320E9" w14:textId="77777777" w:rsidR="002A4FBC" w:rsidRPr="002A4FBC" w:rsidRDefault="002A4FBC" w:rsidP="002A4F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FBC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Sytuacja powyższa określana jest jako nadmierne zadłużenie i stanowi niezależną od niewykonywania zobowiązań pieniężnych przesłankę stwierdzenia stanu niewypłacalności dłużników wskazanych w tym przepisie – może zatem prowadzić do ogłoszenia ich upadłości, nawet gdy wykonują swoje wymagalne zobowiązania pieniężne na bieżąco. Z mocy art. 11 ust. 6 PU sąd może jednak oddalić wniosek o ogłoszenie upadłości, jeżeli nie ma zagrożenia utraty przez dłużnika zdolności do wykonywania jego wymagalnych zobowiązań pieniężnych w niedługim czasie</w:t>
      </w:r>
      <w:bookmarkEnd w:id="0"/>
      <w:r w:rsidRPr="002A4FB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A4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6AD25918" w14:textId="46F9599C" w:rsidR="002A4FBC" w:rsidRPr="002A4FBC" w:rsidRDefault="002A4FBC" w:rsidP="002A4F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</w:t>
      </w:r>
      <w:r w:rsidRPr="002A4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stawodawca wprowadza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zatem </w:t>
      </w:r>
      <w:r w:rsidRPr="002A4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art. 11 PUN dwie przesłanki niewypłacalności, które są wobec siebie niezależne. Dłużnik jest, w rozumieniu PUN,  niewypłacalny, gdy wystąpi dowolna z nich, nie muszą one zatem (choć oczywiście w konkretnym przypadku mogą) wystąpić łącznie. Utrata przez dłużnika zdolności do wykonywania swoich wymagalnych zobowiązań pieniężnych jest przesłanką uznania go za niewypłacalnego w odniesieniu do wszystkich podmiotów posiadających zdolność upadłościową – zarówno osób fizycznych, jak i osób prawnych oraz jednostek organizacyjnych nie posiadających osobowości prawnej. </w:t>
      </w:r>
    </w:p>
    <w:p w14:paraId="4ADB82FB" w14:textId="66EFA2C4" w:rsidR="002A4FBC" w:rsidRDefault="002A4FBC" w:rsidP="002A4F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Druga ze wskazanych w ustawie przesłanek uznania dłużnika za niewypłacalnego - niewypłacalności - nadmierne zadłużenie z art. 11 ust. 2 PUN nie znajduje zastosowania w stosunku do osób fizycznych (w przypadku których stosunek ich majątku do </w:t>
      </w:r>
      <w:r w:rsidRPr="002A4FBC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wielkości zobowiązań nie ma zatem znaczenia), lecz dotyczy jedynie osób prawnych oraz jednostek organizacyjnych nieposiadających osobowości prawnej, którym odrębna ustawa przyznaje zdolność prawną. Podkreślić jednak należy, że, zgodnie z art. 11 ust. 7 PU, przepisy ust. 2 – 6 tego artykułu (a zatem dotyczące przesłanki nadmiernego zadłużenia) nie mają zastosowania do spółek osobowych określonych w KSH (a zatem spółki jawnej, spółka partnerskiej, spółki komandytowej i spółki komandytowo-akcyjnej), w których co najmniej jednym wspólnikiem odpowiadającym za zobowiązania spółki bez ograniczenia całym swoim majątkiem jest osoba fizyczna. W przypadku takich spółek zatem, podobnie jak w przypadku osób fizycznych obowiązuje tylko jedna przesłanka uznania dłużnika za niewypłacalnego –utrata zdolności do wykonywania swoich wymagalnych zobowiązań pieniężnych.</w:t>
      </w:r>
    </w:p>
    <w:p w14:paraId="3C49D9E5" w14:textId="77777777" w:rsidR="00345989" w:rsidRPr="00345989" w:rsidRDefault="002A4FBC" w:rsidP="003459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Pojęcie zagrożenia niewypłacalnością zostało natomiast przez ustawodawcę zdefiniowane bezpośrednio w przepisach PR. </w:t>
      </w:r>
      <w:r w:rsidR="001744F5" w:rsidRPr="00F14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dłużnika zagrożonego niewypłacalnością należy, zgodnie z art. 6 ust. 3 </w:t>
      </w:r>
      <w:proofErr w:type="spellStart"/>
      <w:r w:rsidR="001744F5" w:rsidRPr="00F141C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744F5">
        <w:rPr>
          <w:rFonts w:ascii="Times New Roman" w:eastAsia="Times New Roman" w:hAnsi="Times New Roman" w:cs="Times New Roman"/>
          <w:sz w:val="24"/>
          <w:szCs w:val="24"/>
          <w:lang w:eastAsia="pl-PL"/>
        </w:rPr>
        <w:t>rRestr</w:t>
      </w:r>
      <w:proofErr w:type="spellEnd"/>
      <w:r w:rsidR="001744F5" w:rsidRPr="00F14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rozumieć dłużnika, którego sytuacja ekonomiczna wskazuje, że w niedługim czasie może stać się niewypłacalny</w:t>
      </w:r>
      <w:r w:rsidR="001744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45989" w:rsidRPr="00345989">
        <w:rPr>
          <w:rFonts w:ascii="Times New Roman" w:eastAsia="Times New Roman" w:hAnsi="Times New Roman" w:cs="Times New Roman"/>
          <w:sz w:val="24"/>
          <w:szCs w:val="24"/>
          <w:lang w:eastAsia="pl-PL"/>
        </w:rPr>
        <w:t>Owa przyszła niewypłacalność nie musi być zatem pewna – nie musi zostać udowodniona jej nieuchronność. Wystarczy, że istnieje taka realna możliwość i zostanie to uprawdopodobnione.</w:t>
      </w:r>
    </w:p>
    <w:p w14:paraId="51CB50B0" w14:textId="02BF5158" w:rsidR="00AE06CE" w:rsidRDefault="001744F5" w:rsidP="003459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Jak wskazano w uzasadnieniu o</w:t>
      </w:r>
      <w:r w:rsidRPr="00F14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bjęcie </w:t>
      </w:r>
      <w:r w:rsidRPr="00F141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postępowaniami restrukturyzacyjnymi</w:t>
      </w:r>
      <w:r w:rsidRPr="00F14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również dłużników niewypłacalnych jest uzasadnione głównie interesem wierzycieli, dla których korzystniejsze może być uzyskanie zaspokojenia w wyniku realizacji układu niż w drodze likwidacji majątku dłużnika w postępowaniu upadłościowym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AE06CE" w:rsidRPr="00F14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możliwości wszczęcia tych postępowań </w:t>
      </w:r>
      <w:r w:rsidR="00037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mogą natomiast skorzystać </w:t>
      </w:r>
      <w:r w:rsidR="00AE06CE" w:rsidRPr="00F14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przedsiębiorcy, którzy mają zdolność regulowania swoich zobowiązań i nie istnieje żadne zagrożenie jej utraty</w:t>
      </w:r>
      <w:r w:rsidR="00037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a więc nie są ani niewypłacalni, ani też  zagrożeni niewypłacalnością</w:t>
      </w:r>
      <w:r w:rsidR="00AE06CE" w:rsidRPr="00F14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0A04E47" w14:textId="61EB06BC" w:rsidR="00791D9E" w:rsidRPr="00F141CE" w:rsidRDefault="00791D9E" w:rsidP="003459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D9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Podkreślić należy, że ustawodawca nie różnicuje sytuacji prawnej dłużnika w postępowaniach restrukturyzacyjnych, w zależności od tego, czy  jest on niewypłacalny czy dopiero zagrożony niewypłacalnością. W jednym i w drugim przypadku postepowanie restrukturyzacyjne prowadzone jest w tym samym trybie, w oparciu o te same przepisy.</w:t>
      </w:r>
    </w:p>
    <w:p w14:paraId="72322B6C" w14:textId="77777777" w:rsidR="00F141CE" w:rsidRPr="00F141CE" w:rsidRDefault="00F141CE" w:rsidP="00F141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65613751"/>
    </w:p>
    <w:bookmarkEnd w:id="1"/>
    <w:p w14:paraId="09B8CFCA" w14:textId="77777777" w:rsidR="00F141CE" w:rsidRPr="00F141CE" w:rsidRDefault="00F141CE" w:rsidP="00F141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7B21F" w14:textId="77777777" w:rsidR="009E0E6A" w:rsidRDefault="009E0E6A"/>
    <w:sectPr w:rsidR="009E0E6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C1491" w14:textId="77777777" w:rsidR="000C611C" w:rsidRDefault="000C611C">
      <w:pPr>
        <w:spacing w:after="0" w:line="240" w:lineRule="auto"/>
      </w:pPr>
      <w:r>
        <w:separator/>
      </w:r>
    </w:p>
  </w:endnote>
  <w:endnote w:type="continuationSeparator" w:id="0">
    <w:p w14:paraId="0A97FAEC" w14:textId="77777777" w:rsidR="000C611C" w:rsidRDefault="000C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6439934"/>
      <w:docPartObj>
        <w:docPartGallery w:val="Page Numbers (Bottom of Page)"/>
        <w:docPartUnique/>
      </w:docPartObj>
    </w:sdtPr>
    <w:sdtEndPr/>
    <w:sdtContent>
      <w:p w14:paraId="1BD68EA4" w14:textId="360D2123" w:rsidR="00C076F7" w:rsidRDefault="00C076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DDA4B6" w14:textId="77777777" w:rsidR="00EC222B" w:rsidRDefault="000C61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60DE8" w14:textId="77777777" w:rsidR="000C611C" w:rsidRDefault="000C611C">
      <w:pPr>
        <w:spacing w:after="0" w:line="240" w:lineRule="auto"/>
      </w:pPr>
      <w:r>
        <w:separator/>
      </w:r>
    </w:p>
  </w:footnote>
  <w:footnote w:type="continuationSeparator" w:id="0">
    <w:p w14:paraId="7F05B39C" w14:textId="77777777" w:rsidR="000C611C" w:rsidRDefault="000C6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B395B"/>
    <w:multiLevelType w:val="hybridMultilevel"/>
    <w:tmpl w:val="15606B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C64B2"/>
    <w:multiLevelType w:val="hybridMultilevel"/>
    <w:tmpl w:val="80420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05C56"/>
    <w:multiLevelType w:val="hybridMultilevel"/>
    <w:tmpl w:val="D0AA9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27E8D"/>
    <w:multiLevelType w:val="hybridMultilevel"/>
    <w:tmpl w:val="AA2E56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CE"/>
    <w:rsid w:val="00037BFA"/>
    <w:rsid w:val="00081831"/>
    <w:rsid w:val="000C611C"/>
    <w:rsid w:val="00105626"/>
    <w:rsid w:val="001744F5"/>
    <w:rsid w:val="00181228"/>
    <w:rsid w:val="002A4FBC"/>
    <w:rsid w:val="00345989"/>
    <w:rsid w:val="005D15A1"/>
    <w:rsid w:val="00620B8A"/>
    <w:rsid w:val="006A710E"/>
    <w:rsid w:val="006D1E79"/>
    <w:rsid w:val="00791D9E"/>
    <w:rsid w:val="00920C32"/>
    <w:rsid w:val="0092640D"/>
    <w:rsid w:val="009D10E9"/>
    <w:rsid w:val="009E0E6A"/>
    <w:rsid w:val="00A9215F"/>
    <w:rsid w:val="00AE06CE"/>
    <w:rsid w:val="00BA5AE9"/>
    <w:rsid w:val="00C076F7"/>
    <w:rsid w:val="00D105A5"/>
    <w:rsid w:val="00F1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392C1"/>
  <w15:chartTrackingRefBased/>
  <w15:docId w15:val="{28423462-6314-4A58-B581-E8B9319E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141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141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D1E7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18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183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18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18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183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07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1385</Words>
  <Characters>10252</Characters>
  <Application>Microsoft Office Word</Application>
  <DocSecurity>0</DocSecurity>
  <Lines>160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Horosz</dc:creator>
  <cp:keywords/>
  <dc:description/>
  <cp:lastModifiedBy>Piotr Horosz</cp:lastModifiedBy>
  <cp:revision>10</cp:revision>
  <dcterms:created xsi:type="dcterms:W3CDTF">2021-03-01T12:54:00Z</dcterms:created>
  <dcterms:modified xsi:type="dcterms:W3CDTF">2022-02-03T11:03:00Z</dcterms:modified>
</cp:coreProperties>
</file>