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B76" w:rsidRPr="00E93722" w:rsidRDefault="00055B76" w:rsidP="00E93722">
      <w:pPr>
        <w:spacing w:after="0" w:line="240" w:lineRule="auto"/>
        <w:jc w:val="both"/>
        <w:textAlignment w:val="baseline"/>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Zad 1. Które z poniższych opcji są założeniami teorii nieistotności dywidendy Modigliani'ego i Miillera.</w:t>
      </w:r>
    </w:p>
    <w:p w:rsidR="00055B76" w:rsidRPr="00E93722" w:rsidRDefault="00055B76" w:rsidP="00E93722">
      <w:pPr>
        <w:numPr>
          <w:ilvl w:val="1"/>
          <w:numId w:val="2"/>
        </w:numPr>
        <w:spacing w:after="0" w:line="240" w:lineRule="auto"/>
        <w:jc w:val="both"/>
        <w:textAlignment w:val="baseline"/>
        <w:rPr>
          <w:rFonts w:ascii="Times New Roman" w:eastAsia="Times New Roman" w:hAnsi="Times New Roman" w:cs="Times New Roman"/>
          <w:b/>
          <w:bCs/>
          <w:color w:val="000000"/>
          <w:lang w:eastAsia="pl-PL"/>
        </w:rPr>
      </w:pPr>
      <w:r w:rsidRPr="00E93722">
        <w:rPr>
          <w:rFonts w:ascii="Times New Roman" w:eastAsia="Times New Roman" w:hAnsi="Times New Roman" w:cs="Times New Roman"/>
          <w:b/>
          <w:bCs/>
          <w:color w:val="000000"/>
          <w:lang w:eastAsia="pl-PL"/>
        </w:rPr>
        <w:t>Doskonały rynek kapitałowy</w:t>
      </w:r>
    </w:p>
    <w:p w:rsidR="00055B76" w:rsidRPr="00E93722" w:rsidRDefault="00055B76" w:rsidP="00E93722">
      <w:pPr>
        <w:numPr>
          <w:ilvl w:val="1"/>
          <w:numId w:val="2"/>
        </w:numPr>
        <w:spacing w:after="0" w:line="240" w:lineRule="auto"/>
        <w:jc w:val="both"/>
        <w:textAlignment w:val="baseline"/>
        <w:rPr>
          <w:rFonts w:ascii="Times New Roman" w:eastAsia="Times New Roman" w:hAnsi="Times New Roman" w:cs="Times New Roman"/>
          <w:b/>
          <w:bCs/>
          <w:color w:val="000000"/>
          <w:lang w:eastAsia="pl-PL"/>
        </w:rPr>
      </w:pPr>
      <w:r w:rsidRPr="00E93722">
        <w:rPr>
          <w:rFonts w:ascii="Times New Roman" w:eastAsia="Times New Roman" w:hAnsi="Times New Roman" w:cs="Times New Roman"/>
          <w:b/>
          <w:bCs/>
          <w:color w:val="000000"/>
          <w:lang w:eastAsia="pl-PL"/>
        </w:rPr>
        <w:t>Brak podatków i przywilejów podatkowych</w:t>
      </w:r>
    </w:p>
    <w:p w:rsidR="00055B76" w:rsidRPr="00E93722" w:rsidRDefault="00055B76" w:rsidP="00E93722">
      <w:pPr>
        <w:numPr>
          <w:ilvl w:val="1"/>
          <w:numId w:val="2"/>
        </w:numPr>
        <w:spacing w:after="0" w:line="240" w:lineRule="auto"/>
        <w:jc w:val="both"/>
        <w:textAlignment w:val="baseline"/>
        <w:rPr>
          <w:rFonts w:ascii="Times New Roman" w:eastAsia="Times New Roman" w:hAnsi="Times New Roman" w:cs="Times New Roman"/>
          <w:b/>
          <w:bCs/>
          <w:color w:val="000000"/>
          <w:lang w:eastAsia="pl-PL"/>
        </w:rPr>
      </w:pPr>
      <w:r w:rsidRPr="00E93722">
        <w:rPr>
          <w:rFonts w:ascii="Times New Roman" w:eastAsia="Times New Roman" w:hAnsi="Times New Roman" w:cs="Times New Roman"/>
          <w:b/>
          <w:bCs/>
          <w:color w:val="000000"/>
          <w:lang w:eastAsia="pl-PL"/>
        </w:rPr>
        <w:t>Brak kosztów transakcji</w:t>
      </w:r>
    </w:p>
    <w:p w:rsidR="00055B76" w:rsidRPr="00E93722" w:rsidRDefault="00055B76" w:rsidP="00E93722">
      <w:pPr>
        <w:numPr>
          <w:ilvl w:val="1"/>
          <w:numId w:val="2"/>
        </w:numPr>
        <w:spacing w:after="0" w:line="240" w:lineRule="auto"/>
        <w:jc w:val="both"/>
        <w:textAlignment w:val="baseline"/>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Brak inflacji</w:t>
      </w:r>
    </w:p>
    <w:p w:rsidR="00055B76" w:rsidRPr="00E93722" w:rsidRDefault="00055B76" w:rsidP="00E93722">
      <w:pPr>
        <w:numPr>
          <w:ilvl w:val="1"/>
          <w:numId w:val="3"/>
        </w:numPr>
        <w:spacing w:after="0" w:line="240" w:lineRule="auto"/>
        <w:ind w:left="2127"/>
        <w:jc w:val="both"/>
        <w:textAlignment w:val="baseline"/>
        <w:rPr>
          <w:rFonts w:ascii="Times New Roman" w:eastAsia="Times New Roman" w:hAnsi="Times New Roman" w:cs="Times New Roman"/>
          <w:b/>
          <w:bCs/>
          <w:color w:val="000000"/>
          <w:lang w:eastAsia="pl-PL"/>
        </w:rPr>
      </w:pPr>
      <w:r w:rsidRPr="00E93722">
        <w:rPr>
          <w:rFonts w:ascii="Times New Roman" w:eastAsia="Times New Roman" w:hAnsi="Times New Roman" w:cs="Times New Roman"/>
          <w:b/>
          <w:bCs/>
          <w:color w:val="000000"/>
          <w:lang w:eastAsia="pl-PL"/>
        </w:rPr>
        <w:t>Tylko 1, 2, 3</w:t>
      </w:r>
    </w:p>
    <w:p w:rsidR="00055B76" w:rsidRPr="00E93722" w:rsidRDefault="00055B76" w:rsidP="00E93722">
      <w:pPr>
        <w:numPr>
          <w:ilvl w:val="1"/>
          <w:numId w:val="3"/>
        </w:numPr>
        <w:spacing w:after="0" w:line="240" w:lineRule="auto"/>
        <w:ind w:left="2127"/>
        <w:jc w:val="both"/>
        <w:textAlignment w:val="baseline"/>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Tylko 1, 2, 4</w:t>
      </w:r>
    </w:p>
    <w:p w:rsidR="00055B76" w:rsidRPr="00E93722" w:rsidRDefault="00055B76" w:rsidP="00E93722">
      <w:pPr>
        <w:numPr>
          <w:ilvl w:val="1"/>
          <w:numId w:val="3"/>
        </w:numPr>
        <w:spacing w:after="0" w:line="240" w:lineRule="auto"/>
        <w:ind w:left="2127"/>
        <w:jc w:val="both"/>
        <w:textAlignment w:val="baseline"/>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Tylko 2, 3, 4</w:t>
      </w:r>
    </w:p>
    <w:p w:rsidR="00055B76" w:rsidRPr="00E93722" w:rsidRDefault="00055B76" w:rsidP="00E93722">
      <w:pPr>
        <w:numPr>
          <w:ilvl w:val="1"/>
          <w:numId w:val="3"/>
        </w:numPr>
        <w:spacing w:after="0" w:line="240" w:lineRule="auto"/>
        <w:ind w:left="2127"/>
        <w:jc w:val="both"/>
        <w:textAlignment w:val="baseline"/>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1, 2, 3, 4</w:t>
      </w:r>
    </w:p>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color w:val="000000"/>
          <w:lang w:eastAsia="pl-PL"/>
        </w:rPr>
        <w:t>Odpowiedź: A</w:t>
      </w:r>
    </w:p>
    <w:p w:rsidR="00055B76" w:rsidRPr="00E93722" w:rsidRDefault="00055B76" w:rsidP="00E93722">
      <w:pPr>
        <w:spacing w:after="0" w:line="240" w:lineRule="auto"/>
        <w:ind w:left="720"/>
        <w:jc w:val="both"/>
        <w:rPr>
          <w:rFonts w:ascii="Times New Roman" w:eastAsia="Times New Roman" w:hAnsi="Times New Roman" w:cs="Times New Roman"/>
          <w:lang w:eastAsia="pl-PL"/>
        </w:rPr>
      </w:pPr>
      <w:r w:rsidRPr="00E93722">
        <w:rPr>
          <w:rFonts w:ascii="Times New Roman" w:eastAsia="Times New Roman" w:hAnsi="Times New Roman" w:cs="Times New Roman"/>
          <w:color w:val="000000"/>
          <w:lang w:eastAsia="pl-PL"/>
        </w:rPr>
        <w:t>Teoria Modgiliani'ego i Miller'a (M&amp;M) zakłada doskonały rynek kapitałowy (warunki wolnej konkurencji - brak podatków, ingerencji państwa), dlatego nie ma w niej zawartej informacji o polityce dydwidendowej. M&amp;M zakłada brak podatków lub też zniżek podatkowych, dlatego inwestorzy są obojętni wobec dochodów i zysków kapitałowych. Teoria te zakłada również brak kosztów transakcji, dlatego inwestorzy mogą przechodzić z dochodów do kapitałowych zysków (</w:t>
      </w:r>
      <w:r w:rsidRPr="00E93722">
        <w:rPr>
          <w:rFonts w:ascii="Times New Roman" w:eastAsia="Times New Roman" w:hAnsi="Times New Roman" w:cs="Times New Roman"/>
          <w:color w:val="000000"/>
          <w:shd w:val="clear" w:color="auto" w:fill="FFFFFF"/>
          <w:lang w:eastAsia="pl-PL"/>
        </w:rPr>
        <w:t>dochodów uzyskanych ze zbycia papierów wartościowych lub pochodnych instrumentów finansowych</w:t>
      </w:r>
      <w:r w:rsidRPr="00E93722">
        <w:rPr>
          <w:rFonts w:ascii="Times New Roman" w:eastAsia="Times New Roman" w:hAnsi="Times New Roman" w:cs="Times New Roman"/>
          <w:color w:val="000000"/>
          <w:lang w:eastAsia="pl-PL"/>
        </w:rPr>
        <w:t xml:space="preserve"> bez dodatkowych kosztów np. jeżeli firma przetrzymuje dydwidendy, podczas gdy inwestor preferuje gotówkę, ten  może sprzedać trochę swoich udziałów). Teoria nieistotności dywidendy M&amp;M nie jest zależna od inflacji.</w:t>
      </w:r>
    </w:p>
    <w:p w:rsidR="00055B76" w:rsidRPr="00E93722" w:rsidRDefault="00055B76" w:rsidP="00E93722">
      <w:pPr>
        <w:spacing w:after="0" w:line="240" w:lineRule="auto"/>
        <w:jc w:val="both"/>
        <w:textAlignment w:val="baseline"/>
        <w:rPr>
          <w:rFonts w:ascii="Times New Roman" w:eastAsia="Times New Roman" w:hAnsi="Times New Roman" w:cs="Times New Roman"/>
          <w:lang w:eastAsia="pl-PL"/>
        </w:rPr>
      </w:pPr>
    </w:p>
    <w:p w:rsidR="00055B76" w:rsidRPr="00E93722" w:rsidRDefault="00055B76" w:rsidP="00E93722">
      <w:pPr>
        <w:spacing w:after="0" w:line="240" w:lineRule="auto"/>
        <w:jc w:val="both"/>
        <w:textAlignment w:val="baseline"/>
        <w:rPr>
          <w:rFonts w:ascii="Times New Roman" w:eastAsia="Times New Roman" w:hAnsi="Times New Roman" w:cs="Times New Roman"/>
          <w:color w:val="000000"/>
          <w:lang w:eastAsia="pl-PL"/>
        </w:rPr>
      </w:pPr>
      <w:r w:rsidRPr="00E93722">
        <w:rPr>
          <w:rFonts w:ascii="Times New Roman" w:eastAsia="Times New Roman" w:hAnsi="Times New Roman" w:cs="Times New Roman"/>
          <w:lang w:eastAsia="pl-PL"/>
        </w:rPr>
        <w:t xml:space="preserve">Zad 2. </w:t>
      </w:r>
      <w:r w:rsidRPr="00E93722">
        <w:rPr>
          <w:rFonts w:ascii="Times New Roman" w:eastAsia="Times New Roman" w:hAnsi="Times New Roman" w:cs="Times New Roman"/>
          <w:color w:val="000000"/>
          <w:lang w:eastAsia="pl-PL"/>
        </w:rPr>
        <w:t>Która z poniższych odpowiedzi najlepiej opisuje "efekt sygnalizacji" występujący w polityce dywidendowej?</w:t>
      </w:r>
    </w:p>
    <w:p w:rsidR="00055B76" w:rsidRPr="00E93722" w:rsidRDefault="00055B76" w:rsidP="00E93722">
      <w:pPr>
        <w:numPr>
          <w:ilvl w:val="0"/>
          <w:numId w:val="5"/>
        </w:numPr>
        <w:spacing w:after="0" w:line="240" w:lineRule="auto"/>
        <w:jc w:val="both"/>
        <w:textAlignment w:val="baseline"/>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Pokazuje przyszłe modele dywidend</w:t>
      </w:r>
    </w:p>
    <w:p w:rsidR="00055B76" w:rsidRPr="00E93722" w:rsidRDefault="00055B76" w:rsidP="00E93722">
      <w:pPr>
        <w:numPr>
          <w:ilvl w:val="0"/>
          <w:numId w:val="5"/>
        </w:numPr>
        <w:spacing w:after="0" w:line="240" w:lineRule="auto"/>
        <w:jc w:val="both"/>
        <w:textAlignment w:val="baseline"/>
        <w:rPr>
          <w:rFonts w:ascii="Times New Roman" w:eastAsia="Times New Roman" w:hAnsi="Times New Roman" w:cs="Times New Roman"/>
          <w:b/>
          <w:bCs/>
          <w:color w:val="000000"/>
          <w:lang w:eastAsia="pl-PL"/>
        </w:rPr>
      </w:pPr>
      <w:r w:rsidRPr="00E93722">
        <w:rPr>
          <w:rFonts w:ascii="Times New Roman" w:eastAsia="Times New Roman" w:hAnsi="Times New Roman" w:cs="Times New Roman"/>
          <w:b/>
          <w:bCs/>
          <w:color w:val="000000"/>
          <w:lang w:eastAsia="pl-PL"/>
        </w:rPr>
        <w:t xml:space="preserve">Dywidendy, które są inne niż oczekiwania inwestorów, </w:t>
      </w:r>
      <w:r w:rsidR="009E6E99">
        <w:rPr>
          <w:rFonts w:ascii="Times New Roman" w:eastAsia="Times New Roman" w:hAnsi="Times New Roman" w:cs="Times New Roman"/>
          <w:b/>
          <w:bCs/>
          <w:color w:val="000000"/>
          <w:lang w:eastAsia="pl-PL"/>
        </w:rPr>
        <w:t>sygnalizują dodatkowe informacje o spółce</w:t>
      </w:r>
    </w:p>
    <w:p w:rsidR="00055B76" w:rsidRPr="00E93722" w:rsidRDefault="00055B76" w:rsidP="00E93722">
      <w:pPr>
        <w:numPr>
          <w:ilvl w:val="0"/>
          <w:numId w:val="5"/>
        </w:numPr>
        <w:spacing w:after="0" w:line="240" w:lineRule="auto"/>
        <w:jc w:val="both"/>
        <w:textAlignment w:val="baseline"/>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Mówi o tym jak należy postępować z wynikami finansowymi</w:t>
      </w:r>
    </w:p>
    <w:p w:rsidR="00055B76" w:rsidRPr="00E93722" w:rsidRDefault="00055B76" w:rsidP="00E93722">
      <w:pPr>
        <w:numPr>
          <w:ilvl w:val="0"/>
          <w:numId w:val="5"/>
        </w:numPr>
        <w:spacing w:after="0" w:line="240" w:lineRule="auto"/>
        <w:jc w:val="both"/>
        <w:textAlignment w:val="baseline"/>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Wskazuję na słabą kondycję przepływów pieniężnych (cash flow)</w:t>
      </w:r>
    </w:p>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lang w:eastAsia="pl-PL"/>
        </w:rPr>
        <w:t xml:space="preserve">Odpowiedź: </w:t>
      </w:r>
      <w:r w:rsidRPr="00E93722">
        <w:rPr>
          <w:rFonts w:ascii="Times New Roman" w:eastAsia="Times New Roman" w:hAnsi="Times New Roman" w:cs="Times New Roman"/>
          <w:color w:val="000000"/>
          <w:lang w:eastAsia="pl-PL"/>
        </w:rPr>
        <w:t>B</w:t>
      </w:r>
    </w:p>
    <w:p w:rsidR="00055B76" w:rsidRPr="00E93722" w:rsidRDefault="00055B76" w:rsidP="00E93722">
      <w:pPr>
        <w:spacing w:after="0" w:line="240" w:lineRule="auto"/>
        <w:ind w:left="720"/>
        <w:jc w:val="both"/>
        <w:rPr>
          <w:rFonts w:ascii="Times New Roman" w:eastAsia="Times New Roman" w:hAnsi="Times New Roman" w:cs="Times New Roman"/>
          <w:lang w:eastAsia="pl-PL"/>
        </w:rPr>
      </w:pPr>
      <w:r w:rsidRPr="00E93722">
        <w:rPr>
          <w:rFonts w:ascii="Times New Roman" w:eastAsia="Times New Roman" w:hAnsi="Times New Roman" w:cs="Times New Roman"/>
          <w:color w:val="000000"/>
          <w:lang w:eastAsia="pl-PL"/>
        </w:rPr>
        <w:t>"Efekt sygnalizacji" nawiązuje do treści informacji zawartych w komunikacie dywidendowym. W półsilnej formie rynku kapitałowego z niedoskonałą informacją (bez informacji poufnych/prywatnych), inwestorzy będą interpretować komunikat dywidendowy oraz porównując go z oczekiwaniami będą mogli dostosowywać ich przeszłe, teraźniejsze oraz przyszłe wyobrażenia dotyczące wyników/wydajności.</w:t>
      </w:r>
    </w:p>
    <w:p w:rsidR="00055B76" w:rsidRPr="00E93722" w:rsidRDefault="00055B76" w:rsidP="00E93722">
      <w:pPr>
        <w:spacing w:after="0" w:line="240" w:lineRule="auto"/>
        <w:jc w:val="both"/>
        <w:rPr>
          <w:rFonts w:ascii="Times New Roman" w:eastAsia="Times New Roman" w:hAnsi="Times New Roman" w:cs="Times New Roman"/>
          <w:color w:val="000000"/>
          <w:lang w:eastAsia="pl-PL"/>
        </w:rPr>
      </w:pPr>
      <w:r w:rsidRPr="00E93722">
        <w:rPr>
          <w:rFonts w:ascii="Times New Roman" w:eastAsia="Times New Roman" w:hAnsi="Times New Roman" w:cs="Times New Roman"/>
          <w:lang w:eastAsia="pl-PL"/>
        </w:rPr>
        <w:br/>
      </w:r>
      <w:r w:rsidRPr="00E93722">
        <w:rPr>
          <w:rFonts w:ascii="Times New Roman" w:eastAsia="Times New Roman" w:hAnsi="Times New Roman" w:cs="Times New Roman"/>
          <w:color w:val="000000"/>
          <w:lang w:eastAsia="pl-PL"/>
        </w:rPr>
        <w:t xml:space="preserve">Zad 3. W teorii nieistotności dywidendy Modigliani'ego i Miller'a, prywatna dywidenda </w:t>
      </w:r>
      <w:r w:rsidRPr="00E93722">
        <w:rPr>
          <w:rFonts w:ascii="Times New Roman" w:eastAsia="Times New Roman" w:hAnsi="Times New Roman" w:cs="Times New Roman"/>
          <w:color w:val="000000"/>
          <w:lang w:eastAsia="pl-PL"/>
        </w:rPr>
        <w:br/>
        <w:t>( proces "wytwarzania dywidendy" - manufacturing dividends) odnosi się do którego  z poniższych stwierdzeń?</w:t>
      </w:r>
    </w:p>
    <w:p w:rsidR="00055B76" w:rsidRPr="00E93722" w:rsidRDefault="00055B76" w:rsidP="00E93722">
      <w:pPr>
        <w:numPr>
          <w:ilvl w:val="0"/>
          <w:numId w:val="7"/>
        </w:numPr>
        <w:spacing w:after="0" w:line="240" w:lineRule="auto"/>
        <w:jc w:val="both"/>
        <w:textAlignment w:val="baseline"/>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Dywidendy pochodzą z rynku wytwórczego (manufacturing business)</w:t>
      </w:r>
    </w:p>
    <w:p w:rsidR="00055B76" w:rsidRPr="00E93722" w:rsidRDefault="00055B76" w:rsidP="00E93722">
      <w:pPr>
        <w:numPr>
          <w:ilvl w:val="0"/>
          <w:numId w:val="7"/>
        </w:numPr>
        <w:spacing w:after="0" w:line="240" w:lineRule="auto"/>
        <w:jc w:val="both"/>
        <w:textAlignment w:val="baseline"/>
        <w:rPr>
          <w:rFonts w:ascii="Times New Roman" w:eastAsia="Times New Roman" w:hAnsi="Times New Roman" w:cs="Times New Roman"/>
          <w:b/>
          <w:bCs/>
          <w:color w:val="000000"/>
          <w:lang w:eastAsia="pl-PL"/>
        </w:rPr>
      </w:pPr>
      <w:r w:rsidRPr="00E93722">
        <w:rPr>
          <w:rFonts w:ascii="Times New Roman" w:eastAsia="Times New Roman" w:hAnsi="Times New Roman" w:cs="Times New Roman"/>
          <w:b/>
          <w:bCs/>
          <w:color w:val="000000"/>
          <w:lang w:eastAsia="pl-PL"/>
        </w:rPr>
        <w:t>Inwestorzy sprzedają niektóre akcje, aby móc zrealizować niektóre zyski kapitałowe</w:t>
      </w:r>
    </w:p>
    <w:p w:rsidR="00055B76" w:rsidRPr="00E93722" w:rsidRDefault="00055B76" w:rsidP="00E93722">
      <w:pPr>
        <w:numPr>
          <w:ilvl w:val="0"/>
          <w:numId w:val="7"/>
        </w:numPr>
        <w:spacing w:after="0" w:line="240" w:lineRule="auto"/>
        <w:jc w:val="both"/>
        <w:textAlignment w:val="baseline"/>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Kreatywna księgowość pozwala na spłacenie dywidend</w:t>
      </w:r>
    </w:p>
    <w:p w:rsidR="00055B76" w:rsidRPr="00E93722" w:rsidRDefault="00055B76" w:rsidP="00E93722">
      <w:pPr>
        <w:numPr>
          <w:ilvl w:val="0"/>
          <w:numId w:val="7"/>
        </w:numPr>
        <w:spacing w:after="0" w:line="240" w:lineRule="auto"/>
        <w:jc w:val="both"/>
        <w:textAlignment w:val="baseline"/>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Planowanie inwestowania zostało zaprojektowane aby móc stworzyć regularne zwroty dla udziałowców.</w:t>
      </w:r>
    </w:p>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color w:val="000000"/>
          <w:lang w:eastAsia="pl-PL"/>
        </w:rPr>
        <w:t>Odpowiedź: B</w:t>
      </w:r>
    </w:p>
    <w:p w:rsidR="00055B76" w:rsidRPr="00E93722" w:rsidRDefault="00055B76" w:rsidP="00E93722">
      <w:pPr>
        <w:spacing w:after="0" w:line="240" w:lineRule="auto"/>
        <w:ind w:left="709"/>
        <w:jc w:val="both"/>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Manufacturing dividends, czyli inaczej prywatna dywidenda lub też tworzenie dywidendy. Jeśli zakładamy, że rynek jest doskonały, nie występują podatki, ani koszty transakcyjne, rynek zachowuje się racjonalnie (wzrost cen akcji odpowiada wartości zysku zatrzymanego - zamiast wypłaty dywidendy), to inwestor, który woli dywidendę od zysków kapitałowych może sprzedać część swoich akcji. To znaczy, ze łączna wartość rynkowa posiadanych reszty akcji i wypłaconej dywidendy po tej operacji będzie dokładnie w tej samej sytuacji jak gdyby to spółka wypłaciła dywidendę gotówkową. I odwrotnie jeśli inwestor woli zyski kapitałowe od dywidendy, a spółka wypłaciła dywidendę, to inwestor za tą gotówkę kupuje akcje i jest w tej samej sytuacji, jak gdyby spółka nie wypłaciła dywidendy (tylko reinwestowała zyski).</w:t>
      </w:r>
    </w:p>
    <w:p w:rsidR="00055B76" w:rsidRPr="00E93722" w:rsidRDefault="00055B76" w:rsidP="00E93722">
      <w:pPr>
        <w:spacing w:after="0" w:line="240" w:lineRule="auto"/>
        <w:jc w:val="both"/>
        <w:rPr>
          <w:rFonts w:ascii="Times New Roman" w:eastAsia="Times New Roman" w:hAnsi="Times New Roman" w:cs="Times New Roman"/>
          <w:lang w:eastAsia="pl-PL"/>
        </w:rPr>
      </w:pPr>
    </w:p>
    <w:p w:rsidR="00055B76" w:rsidRPr="00E93722" w:rsidRDefault="00055B76" w:rsidP="00E93722">
      <w:pPr>
        <w:spacing w:after="0" w:line="240" w:lineRule="auto"/>
        <w:jc w:val="both"/>
        <w:textAlignment w:val="baseline"/>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Zad. 4. Co oznacza wzmocniona "scrip dividends" (rozszerzona dywidenda skryptowa)</w:t>
      </w:r>
    </w:p>
    <w:p w:rsidR="00055B76" w:rsidRPr="00E93722" w:rsidRDefault="00055B76" w:rsidP="00E93722">
      <w:pPr>
        <w:numPr>
          <w:ilvl w:val="0"/>
          <w:numId w:val="9"/>
        </w:numPr>
        <w:spacing w:after="0" w:line="240" w:lineRule="auto"/>
        <w:jc w:val="both"/>
        <w:textAlignment w:val="baseline"/>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Jest dodatkiem do  dywidendy skryptowej i mówi, że gotówka również może być wypłacana</w:t>
      </w:r>
    </w:p>
    <w:p w:rsidR="00055B76" w:rsidRPr="00E93722" w:rsidRDefault="00055B76" w:rsidP="00E93722">
      <w:pPr>
        <w:numPr>
          <w:ilvl w:val="0"/>
          <w:numId w:val="9"/>
        </w:numPr>
        <w:spacing w:after="0" w:line="240" w:lineRule="auto"/>
        <w:jc w:val="both"/>
        <w:textAlignment w:val="baseline"/>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Wypłacane są bonusowe udziały w zamian za zaakceptowanie opóźnień</w:t>
      </w:r>
    </w:p>
    <w:p w:rsidR="00055B76" w:rsidRPr="00E93722" w:rsidRDefault="00055B76" w:rsidP="00E93722">
      <w:pPr>
        <w:numPr>
          <w:ilvl w:val="0"/>
          <w:numId w:val="9"/>
        </w:numPr>
        <w:spacing w:after="0" w:line="240" w:lineRule="auto"/>
        <w:jc w:val="both"/>
        <w:textAlignment w:val="baseline"/>
        <w:rPr>
          <w:rFonts w:ascii="Times New Roman" w:eastAsia="Times New Roman" w:hAnsi="Times New Roman" w:cs="Times New Roman"/>
          <w:b/>
          <w:bCs/>
          <w:color w:val="000000"/>
          <w:lang w:eastAsia="pl-PL"/>
        </w:rPr>
      </w:pPr>
      <w:r w:rsidRPr="00E93722">
        <w:rPr>
          <w:rFonts w:ascii="Times New Roman" w:eastAsia="Times New Roman" w:hAnsi="Times New Roman" w:cs="Times New Roman"/>
          <w:b/>
          <w:bCs/>
          <w:color w:val="000000"/>
          <w:lang w:eastAsia="pl-PL"/>
        </w:rPr>
        <w:t>Większa niż 1$ wartość akcji jest oferowana jako alternatywa za każdego zapłaconego dolara dywidendy w gotówce.</w:t>
      </w:r>
    </w:p>
    <w:p w:rsidR="00055B76" w:rsidRPr="00E93722" w:rsidRDefault="00055B76" w:rsidP="00E93722">
      <w:pPr>
        <w:numPr>
          <w:ilvl w:val="0"/>
          <w:numId w:val="9"/>
        </w:numPr>
        <w:spacing w:after="0" w:line="240" w:lineRule="auto"/>
        <w:jc w:val="both"/>
        <w:textAlignment w:val="baseline"/>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Wyższa wartości dywidendy skryptowej jest oferowana dla limitowanych grup udziałowców</w:t>
      </w:r>
    </w:p>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color w:val="000000"/>
          <w:lang w:eastAsia="pl-PL"/>
        </w:rPr>
        <w:t>Odpowiedź: C</w:t>
      </w:r>
    </w:p>
    <w:p w:rsidR="00055B76" w:rsidRPr="00E93722" w:rsidRDefault="00055B76" w:rsidP="00E93722">
      <w:pPr>
        <w:spacing w:after="0" w:line="240" w:lineRule="auto"/>
        <w:ind w:left="709"/>
        <w:jc w:val="both"/>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 xml:space="preserve">Scrip dividends oznacza rozszerzoną dywidendę skryptowa/certyfikatowa. To inaczej poszerzona dywidenda w postaci akcji/akcjach. Dywidenda jest wypłacana wtedy w postaci nowych akcji, a nie w postaci gotówki. Akcje te, emituje na potrzeby dywidendy, przedsiębiorstwo. Taka dywidenda jest zwykle wyższa od dywidendy gotówkowej, tak aby zachęcić inwestorów do wyboru akcji zamiast gotówki. A jeżeli przedsiębiorstwo oferuje </w:t>
      </w:r>
      <w:r w:rsidRPr="00E93722">
        <w:rPr>
          <w:rFonts w:ascii="Times New Roman" w:eastAsia="Times New Roman" w:hAnsi="Times New Roman" w:cs="Times New Roman"/>
          <w:color w:val="000000"/>
          <w:lang w:eastAsia="pl-PL"/>
        </w:rPr>
        <w:lastRenderedPageBreak/>
        <w:t>rozszerzoną dywidendę w akcjach, to wtedy stwarza inwestorom możliwość natychmiastowej sprzedaży tych akcji na rynku.</w:t>
      </w:r>
    </w:p>
    <w:p w:rsidR="00055B76" w:rsidRPr="00E93722" w:rsidRDefault="00055B76" w:rsidP="00E93722">
      <w:pPr>
        <w:spacing w:after="0" w:line="240" w:lineRule="auto"/>
        <w:ind w:left="709"/>
        <w:jc w:val="both"/>
        <w:rPr>
          <w:rFonts w:ascii="Times New Roman" w:eastAsia="Times New Roman" w:hAnsi="Times New Roman" w:cs="Times New Roman"/>
          <w:lang w:eastAsia="pl-PL"/>
        </w:rPr>
      </w:pPr>
    </w:p>
    <w:p w:rsidR="00055B76" w:rsidRPr="00E93722" w:rsidRDefault="00055B76" w:rsidP="00E93722">
      <w:pPr>
        <w:spacing w:after="0" w:line="240" w:lineRule="auto"/>
        <w:jc w:val="both"/>
        <w:textAlignment w:val="baseline"/>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Zad. 5. Trzy firmy ( Sun Co, Moon Co oraz Nite Co) mają następującą historię płatności dywidend</w:t>
      </w:r>
    </w:p>
    <w:p w:rsidR="00055B76" w:rsidRPr="00E93722" w:rsidRDefault="00055B76" w:rsidP="00E93722">
      <w:pPr>
        <w:spacing w:after="0" w:line="240" w:lineRule="auto"/>
        <w:jc w:val="both"/>
        <w:rPr>
          <w:rFonts w:ascii="Times New Roman" w:eastAsia="Times New Roman" w:hAnsi="Times New Roman" w:cs="Times New Roman"/>
          <w:lang w:eastAsia="pl-PL"/>
        </w:rPr>
      </w:pPr>
    </w:p>
    <w:tbl>
      <w:tblPr>
        <w:tblW w:w="0" w:type="auto"/>
        <w:tblCellMar>
          <w:top w:w="15" w:type="dxa"/>
          <w:left w:w="15" w:type="dxa"/>
          <w:bottom w:w="15" w:type="dxa"/>
          <w:right w:w="15" w:type="dxa"/>
        </w:tblCellMar>
        <w:tblLook w:val="04A0" w:firstRow="1" w:lastRow="0" w:firstColumn="1" w:lastColumn="0" w:noHBand="0" w:noVBand="1"/>
      </w:tblPr>
      <w:tblGrid>
        <w:gridCol w:w="1104"/>
        <w:gridCol w:w="1294"/>
        <w:gridCol w:w="719"/>
        <w:gridCol w:w="719"/>
        <w:gridCol w:w="719"/>
      </w:tblGrid>
      <w:tr w:rsidR="00055B76" w:rsidRPr="00E93722" w:rsidTr="00055B76">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b/>
                <w:bCs/>
                <w:color w:val="000000"/>
                <w:lang w:eastAsia="pl-PL"/>
              </w:rPr>
              <w:t>Firma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b/>
                <w:bCs/>
                <w:color w:val="000000"/>
                <w:lang w:eastAsia="pl-PL"/>
              </w:rPr>
              <w:t>20X1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b/>
                <w:bCs/>
                <w:color w:val="000000"/>
                <w:lang w:eastAsia="pl-PL"/>
              </w:rPr>
              <w:t>20X2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b/>
                <w:bCs/>
                <w:color w:val="000000"/>
                <w:lang w:eastAsia="pl-PL"/>
              </w:rPr>
              <w:t>20X3</w:t>
            </w:r>
          </w:p>
        </w:tc>
      </w:tr>
      <w:tr w:rsidR="00055B76" w:rsidRPr="00E93722" w:rsidTr="00055B76">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b/>
                <w:bCs/>
                <w:color w:val="000000"/>
                <w:lang w:eastAsia="pl-PL"/>
              </w:rPr>
              <w:t>Sun Co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b/>
                <w:bCs/>
                <w:color w:val="000000"/>
                <w:lang w:eastAsia="pl-PL"/>
              </w:rPr>
              <w:t>Dywidendy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color w:val="000000"/>
                <w:lang w:eastAsia="pl-PL"/>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color w:val="000000"/>
                <w:lang w:eastAsia="pl-PL"/>
              </w:rPr>
              <w:t>110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color w:val="000000"/>
                <w:lang w:eastAsia="pl-PL"/>
              </w:rPr>
              <w:t>121</w:t>
            </w:r>
          </w:p>
        </w:tc>
      </w:tr>
      <w:tr w:rsidR="00055B76" w:rsidRPr="00E93722" w:rsidTr="00055B7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55B76" w:rsidRPr="00E93722" w:rsidRDefault="00585205" w:rsidP="00E93722">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color w:val="000000"/>
                <w:lang w:eastAsia="pl-PL"/>
              </w:rPr>
              <w:t>Zyski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color w:val="000000"/>
                <w:lang w:eastAsia="pl-PL"/>
              </w:rPr>
              <w:t>200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color w:val="000000"/>
                <w:lang w:eastAsia="pl-PL"/>
              </w:rPr>
              <w:t>200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color w:val="000000"/>
                <w:lang w:eastAsia="pl-PL"/>
              </w:rPr>
              <w:t>201</w:t>
            </w:r>
          </w:p>
        </w:tc>
      </w:tr>
      <w:tr w:rsidR="00055B76" w:rsidRPr="00E93722" w:rsidTr="00055B76">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b/>
                <w:bCs/>
                <w:color w:val="000000"/>
                <w:lang w:eastAsia="pl-PL"/>
              </w:rPr>
              <w:t>Moon Co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b/>
                <w:bCs/>
                <w:color w:val="000000"/>
                <w:lang w:eastAsia="pl-PL"/>
              </w:rPr>
              <w:t>Dywidendy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color w:val="000000"/>
                <w:lang w:eastAsia="pl-PL"/>
              </w:rPr>
              <w:t>50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color w:val="000000"/>
                <w:lang w:eastAsia="pl-PL"/>
              </w:rPr>
              <w:t>150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color w:val="000000"/>
                <w:lang w:eastAsia="pl-PL"/>
              </w:rPr>
              <w:t>25</w:t>
            </w:r>
          </w:p>
        </w:tc>
      </w:tr>
      <w:tr w:rsidR="00055B76" w:rsidRPr="00E93722" w:rsidTr="00055B7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55B76" w:rsidRPr="00E93722" w:rsidRDefault="00585205" w:rsidP="00E93722">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color w:val="000000"/>
                <w:lang w:eastAsia="pl-PL"/>
              </w:rPr>
              <w:t>Zyski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color w:val="000000"/>
                <w:lang w:eastAsia="pl-PL"/>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color w:val="000000"/>
                <w:lang w:eastAsia="pl-PL"/>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color w:val="000000"/>
                <w:lang w:eastAsia="pl-PL"/>
              </w:rPr>
              <w:t>50</w:t>
            </w:r>
          </w:p>
        </w:tc>
      </w:tr>
      <w:tr w:rsidR="00055B76" w:rsidRPr="00E93722" w:rsidTr="00055B76">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b/>
                <w:bCs/>
                <w:color w:val="000000"/>
                <w:lang w:eastAsia="pl-PL"/>
              </w:rPr>
              <w:t>Nite Co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b/>
                <w:bCs/>
                <w:color w:val="000000"/>
                <w:lang w:eastAsia="pl-PL"/>
              </w:rPr>
              <w:t>Dywidendy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color w:val="000000"/>
                <w:lang w:eastAsia="pl-PL"/>
              </w:rPr>
              <w:t>nil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color w:val="000000"/>
                <w:lang w:eastAsia="pl-PL"/>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color w:val="000000"/>
                <w:lang w:eastAsia="pl-PL"/>
              </w:rPr>
              <w:t>nil</w:t>
            </w:r>
          </w:p>
        </w:tc>
      </w:tr>
      <w:tr w:rsidR="00055B76" w:rsidRPr="00E93722" w:rsidTr="00055B7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55B76" w:rsidRPr="00E93722" w:rsidRDefault="00585205" w:rsidP="00E93722">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color w:val="000000"/>
                <w:lang w:eastAsia="pl-PL"/>
              </w:rPr>
              <w:t>Zyski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color w:val="000000"/>
                <w:lang w:eastAsia="pl-PL"/>
              </w:rPr>
              <w:t>40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color w:val="000000"/>
                <w:lang w:eastAsia="pl-PL"/>
              </w:rPr>
              <w:t>350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color w:val="000000"/>
                <w:lang w:eastAsia="pl-PL"/>
              </w:rPr>
              <w:t>500</w:t>
            </w:r>
          </w:p>
        </w:tc>
      </w:tr>
    </w:tbl>
    <w:p w:rsidR="00055B76" w:rsidRPr="00E93722" w:rsidRDefault="00055B76" w:rsidP="00E93722">
      <w:pPr>
        <w:spacing w:after="0" w:line="240" w:lineRule="auto"/>
        <w:jc w:val="both"/>
        <w:rPr>
          <w:rFonts w:ascii="Times New Roman" w:eastAsia="Times New Roman" w:hAnsi="Times New Roman" w:cs="Times New Roman"/>
          <w:lang w:eastAsia="pl-PL"/>
        </w:rPr>
      </w:pPr>
    </w:p>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color w:val="000000"/>
          <w:lang w:eastAsia="pl-PL"/>
        </w:rPr>
        <w:t>Co najbardziej opisuje oczywistą politykę dywidendową?</w:t>
      </w:r>
    </w:p>
    <w:tbl>
      <w:tblPr>
        <w:tblW w:w="0" w:type="auto"/>
        <w:tblCellMar>
          <w:top w:w="15" w:type="dxa"/>
          <w:left w:w="15" w:type="dxa"/>
          <w:bottom w:w="15" w:type="dxa"/>
          <w:right w:w="15" w:type="dxa"/>
        </w:tblCellMar>
        <w:tblLook w:val="04A0" w:firstRow="1" w:lastRow="0" w:firstColumn="1" w:lastColumn="0" w:noHBand="0" w:noVBand="1"/>
      </w:tblPr>
      <w:tblGrid>
        <w:gridCol w:w="395"/>
        <w:gridCol w:w="1703"/>
        <w:gridCol w:w="1508"/>
        <w:gridCol w:w="1422"/>
      </w:tblGrid>
      <w:tr w:rsidR="00055B76" w:rsidRPr="00E93722" w:rsidTr="00055B76">
        <w:tc>
          <w:tcPr>
            <w:tcW w:w="0" w:type="auto"/>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p>
        </w:tc>
        <w:tc>
          <w:tcPr>
            <w:tcW w:w="0" w:type="auto"/>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b/>
                <w:bCs/>
                <w:color w:val="000000"/>
                <w:lang w:eastAsia="pl-PL"/>
              </w:rPr>
              <w:t>Sun Co</w:t>
            </w:r>
          </w:p>
        </w:tc>
        <w:tc>
          <w:tcPr>
            <w:tcW w:w="0" w:type="auto"/>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b/>
                <w:bCs/>
                <w:color w:val="000000"/>
                <w:lang w:eastAsia="pl-PL"/>
              </w:rPr>
              <w:t>Moon Co</w:t>
            </w:r>
          </w:p>
        </w:tc>
        <w:tc>
          <w:tcPr>
            <w:tcW w:w="0" w:type="auto"/>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b/>
                <w:bCs/>
                <w:color w:val="000000"/>
                <w:lang w:eastAsia="pl-PL"/>
              </w:rPr>
              <w:t>Nite Co</w:t>
            </w:r>
          </w:p>
        </w:tc>
      </w:tr>
      <w:tr w:rsidR="00055B76" w:rsidRPr="00E93722" w:rsidTr="00055B76">
        <w:tc>
          <w:tcPr>
            <w:tcW w:w="0" w:type="auto"/>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b/>
                <w:bCs/>
                <w:color w:val="000000"/>
                <w:lang w:eastAsia="pl-PL"/>
              </w:rPr>
              <w:t>a.</w:t>
            </w:r>
          </w:p>
        </w:tc>
        <w:tc>
          <w:tcPr>
            <w:tcW w:w="0" w:type="auto"/>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b/>
                <w:bCs/>
                <w:color w:val="000000"/>
                <w:lang w:eastAsia="pl-PL"/>
              </w:rPr>
              <w:t>Stały wzrost</w:t>
            </w:r>
          </w:p>
        </w:tc>
        <w:tc>
          <w:tcPr>
            <w:tcW w:w="0" w:type="auto"/>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b/>
                <w:bCs/>
                <w:color w:val="000000"/>
                <w:lang w:eastAsia="pl-PL"/>
              </w:rPr>
              <w:t>Stała wypłata</w:t>
            </w:r>
          </w:p>
        </w:tc>
        <w:tc>
          <w:tcPr>
            <w:tcW w:w="0" w:type="auto"/>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b/>
                <w:bCs/>
                <w:color w:val="000000"/>
                <w:lang w:eastAsia="pl-PL"/>
              </w:rPr>
              <w:t>Rezydualna</w:t>
            </w:r>
          </w:p>
        </w:tc>
      </w:tr>
      <w:tr w:rsidR="00055B76" w:rsidRPr="00E93722" w:rsidTr="00055B76">
        <w:tc>
          <w:tcPr>
            <w:tcW w:w="0" w:type="auto"/>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color w:val="000000"/>
                <w:lang w:eastAsia="pl-PL"/>
              </w:rPr>
              <w:t>b.</w:t>
            </w:r>
          </w:p>
        </w:tc>
        <w:tc>
          <w:tcPr>
            <w:tcW w:w="0" w:type="auto"/>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color w:val="000000"/>
                <w:lang w:eastAsia="pl-PL"/>
              </w:rPr>
              <w:t>stała wypłata</w:t>
            </w:r>
          </w:p>
        </w:tc>
        <w:tc>
          <w:tcPr>
            <w:tcW w:w="0" w:type="auto"/>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color w:val="000000"/>
                <w:lang w:eastAsia="pl-PL"/>
              </w:rPr>
              <w:t>Stały wzrost</w:t>
            </w:r>
          </w:p>
        </w:tc>
        <w:tc>
          <w:tcPr>
            <w:tcW w:w="0" w:type="auto"/>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color w:val="000000"/>
                <w:lang w:eastAsia="pl-PL"/>
              </w:rPr>
              <w:t>Rezydualna</w:t>
            </w:r>
          </w:p>
        </w:tc>
      </w:tr>
      <w:tr w:rsidR="00055B76" w:rsidRPr="00E93722" w:rsidTr="00055B76">
        <w:tc>
          <w:tcPr>
            <w:tcW w:w="0" w:type="auto"/>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color w:val="000000"/>
                <w:lang w:eastAsia="pl-PL"/>
              </w:rPr>
              <w:t>c.</w:t>
            </w:r>
          </w:p>
        </w:tc>
        <w:tc>
          <w:tcPr>
            <w:tcW w:w="0" w:type="auto"/>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color w:val="000000"/>
                <w:lang w:eastAsia="pl-PL"/>
              </w:rPr>
              <w:t>Wysoka wypłata</w:t>
            </w:r>
          </w:p>
        </w:tc>
        <w:tc>
          <w:tcPr>
            <w:tcW w:w="0" w:type="auto"/>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color w:val="000000"/>
                <w:lang w:eastAsia="pl-PL"/>
              </w:rPr>
              <w:t>Rezydualna</w:t>
            </w:r>
          </w:p>
        </w:tc>
        <w:tc>
          <w:tcPr>
            <w:tcW w:w="0" w:type="auto"/>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color w:val="000000"/>
                <w:lang w:eastAsia="pl-PL"/>
              </w:rPr>
              <w:t>Stała wypłata</w:t>
            </w:r>
          </w:p>
        </w:tc>
      </w:tr>
      <w:tr w:rsidR="00055B76" w:rsidRPr="00E93722" w:rsidTr="00055B76">
        <w:trPr>
          <w:trHeight w:val="360"/>
        </w:trPr>
        <w:tc>
          <w:tcPr>
            <w:tcW w:w="0" w:type="auto"/>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color w:val="000000"/>
                <w:lang w:eastAsia="pl-PL"/>
              </w:rPr>
              <w:t>d.</w:t>
            </w:r>
          </w:p>
        </w:tc>
        <w:tc>
          <w:tcPr>
            <w:tcW w:w="0" w:type="auto"/>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color w:val="000000"/>
                <w:lang w:eastAsia="pl-PL"/>
              </w:rPr>
              <w:t>Stały wzrost</w:t>
            </w:r>
          </w:p>
        </w:tc>
        <w:tc>
          <w:tcPr>
            <w:tcW w:w="0" w:type="auto"/>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color w:val="000000"/>
                <w:lang w:eastAsia="pl-PL"/>
              </w:rPr>
              <w:t>Rezydualna</w:t>
            </w:r>
          </w:p>
        </w:tc>
        <w:tc>
          <w:tcPr>
            <w:tcW w:w="0" w:type="auto"/>
            <w:tcMar>
              <w:top w:w="0" w:type="dxa"/>
              <w:left w:w="115" w:type="dxa"/>
              <w:bottom w:w="0" w:type="dxa"/>
              <w:right w:w="115" w:type="dxa"/>
            </w:tcMar>
            <w:hideMark/>
          </w:tcPr>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color w:val="000000"/>
                <w:lang w:eastAsia="pl-PL"/>
              </w:rPr>
              <w:t>Stała wypłata</w:t>
            </w:r>
          </w:p>
        </w:tc>
      </w:tr>
    </w:tbl>
    <w:p w:rsidR="00055B76" w:rsidRPr="00E93722" w:rsidRDefault="00055B76" w:rsidP="00E93722">
      <w:pPr>
        <w:spacing w:after="0" w:line="240" w:lineRule="auto"/>
        <w:jc w:val="both"/>
        <w:rPr>
          <w:rFonts w:ascii="Times New Roman" w:eastAsia="Times New Roman" w:hAnsi="Times New Roman" w:cs="Times New Roman"/>
          <w:lang w:eastAsia="pl-PL"/>
        </w:rPr>
      </w:pPr>
      <w:r w:rsidRPr="00E93722">
        <w:rPr>
          <w:rFonts w:ascii="Times New Roman" w:eastAsia="Times New Roman" w:hAnsi="Times New Roman" w:cs="Times New Roman"/>
          <w:lang w:eastAsia="pl-PL"/>
        </w:rPr>
        <w:t xml:space="preserve">Odpowiedź: </w:t>
      </w:r>
      <w:r w:rsidRPr="00E93722">
        <w:rPr>
          <w:rFonts w:ascii="Times New Roman" w:eastAsia="Times New Roman" w:hAnsi="Times New Roman" w:cs="Times New Roman"/>
          <w:color w:val="000000"/>
          <w:lang w:eastAsia="pl-PL"/>
        </w:rPr>
        <w:t xml:space="preserve"> A</w:t>
      </w:r>
    </w:p>
    <w:p w:rsidR="00055B76" w:rsidRPr="00E93722" w:rsidRDefault="00055B76" w:rsidP="00E93722">
      <w:pPr>
        <w:spacing w:after="0" w:line="240" w:lineRule="auto"/>
        <w:ind w:left="720"/>
        <w:jc w:val="both"/>
        <w:rPr>
          <w:rFonts w:ascii="Times New Roman" w:eastAsia="Times New Roman" w:hAnsi="Times New Roman" w:cs="Times New Roman"/>
          <w:lang w:eastAsia="pl-PL"/>
        </w:rPr>
      </w:pPr>
      <w:r w:rsidRPr="00E93722">
        <w:rPr>
          <w:rFonts w:ascii="Times New Roman" w:eastAsia="Times New Roman" w:hAnsi="Times New Roman" w:cs="Times New Roman"/>
          <w:color w:val="000000"/>
          <w:lang w:eastAsia="pl-PL"/>
        </w:rPr>
        <w:t>Dywidendy firmtu Sun Co wzrastają 10% rocznie nawet przy braków zarobków/dochodów.</w:t>
      </w:r>
    </w:p>
    <w:p w:rsidR="00055B76" w:rsidRPr="00E93722" w:rsidRDefault="00055B76" w:rsidP="00E93722">
      <w:pPr>
        <w:spacing w:after="0" w:line="240" w:lineRule="auto"/>
        <w:ind w:left="720"/>
        <w:jc w:val="both"/>
        <w:rPr>
          <w:rFonts w:ascii="Times New Roman" w:eastAsia="Times New Roman" w:hAnsi="Times New Roman" w:cs="Times New Roman"/>
          <w:lang w:eastAsia="pl-PL"/>
        </w:rPr>
      </w:pPr>
      <w:r w:rsidRPr="00E93722">
        <w:rPr>
          <w:rFonts w:ascii="Times New Roman" w:eastAsia="Times New Roman" w:hAnsi="Times New Roman" w:cs="Times New Roman"/>
          <w:color w:val="000000"/>
          <w:lang w:eastAsia="pl-PL"/>
        </w:rPr>
        <w:t>Firma Moon Co płaci stale 50 % swoich zarobków jako dywidendy.</w:t>
      </w:r>
    </w:p>
    <w:p w:rsidR="00055B76" w:rsidRPr="00E93722" w:rsidRDefault="00055B76" w:rsidP="00E93722">
      <w:pPr>
        <w:spacing w:after="0" w:line="240" w:lineRule="auto"/>
        <w:ind w:left="720"/>
        <w:jc w:val="both"/>
        <w:rPr>
          <w:rFonts w:ascii="Times New Roman" w:eastAsia="Times New Roman" w:hAnsi="Times New Roman" w:cs="Times New Roman"/>
          <w:lang w:eastAsia="pl-PL"/>
        </w:rPr>
      </w:pPr>
      <w:r w:rsidRPr="00E93722">
        <w:rPr>
          <w:rFonts w:ascii="Times New Roman" w:eastAsia="Times New Roman" w:hAnsi="Times New Roman" w:cs="Times New Roman"/>
          <w:color w:val="000000"/>
          <w:lang w:eastAsia="pl-PL"/>
        </w:rPr>
        <w:t>Dywidendy firmy Nite nie są oczywiście powiązane ze zgłoszonymi zarobkami, dlatego ich polityka jest jednocześnie rezydualna i przypadkowa. Kierowane na dywidendy są te kwoty, które nie mogą być reinwestowane w firmie.</w:t>
      </w:r>
    </w:p>
    <w:p w:rsidR="00844505" w:rsidRPr="00E93722" w:rsidRDefault="00844505" w:rsidP="00E93722">
      <w:pPr>
        <w:spacing w:after="0" w:line="240" w:lineRule="auto"/>
        <w:jc w:val="both"/>
        <w:rPr>
          <w:rFonts w:ascii="Times New Roman" w:hAnsi="Times New Roman" w:cs="Times New Roman"/>
        </w:rPr>
      </w:pPr>
    </w:p>
    <w:p w:rsidR="000540D9" w:rsidRPr="00E93722" w:rsidRDefault="000540D9" w:rsidP="00E93722">
      <w:pPr>
        <w:spacing w:after="0" w:line="240" w:lineRule="auto"/>
        <w:jc w:val="both"/>
        <w:rPr>
          <w:rFonts w:ascii="Times New Roman" w:hAnsi="Times New Roman" w:cs="Times New Roman"/>
        </w:rPr>
      </w:pPr>
      <w:r w:rsidRPr="00E93722">
        <w:rPr>
          <w:rFonts w:ascii="Times New Roman" w:hAnsi="Times New Roman" w:cs="Times New Roman"/>
        </w:rPr>
        <w:t>Dane:</w:t>
      </w:r>
    </w:p>
    <w:p w:rsidR="000540D9" w:rsidRPr="00E93722" w:rsidRDefault="000540D9" w:rsidP="00E93722">
      <w:pPr>
        <w:spacing w:after="0" w:line="240" w:lineRule="auto"/>
        <w:jc w:val="both"/>
        <w:rPr>
          <w:rFonts w:ascii="Times New Roman" w:hAnsi="Times New Roman" w:cs="Times New Roman"/>
        </w:rPr>
      </w:pPr>
    </w:p>
    <w:p w:rsidR="000540D9" w:rsidRPr="00E93722" w:rsidRDefault="000540D9" w:rsidP="00E93722">
      <w:pPr>
        <w:spacing w:after="0" w:line="240" w:lineRule="auto"/>
        <w:jc w:val="both"/>
        <w:rPr>
          <w:rFonts w:ascii="Times New Roman" w:hAnsi="Times New Roman" w:cs="Times New Roman"/>
        </w:rPr>
      </w:pPr>
      <w:r w:rsidRPr="00E93722">
        <w:rPr>
          <w:rFonts w:ascii="Times New Roman" w:hAnsi="Times New Roman" w:cs="Times New Roman"/>
        </w:rPr>
        <w:t>Spółka IML Co jest spółką akcyjną (all equity financed listed company). Prawie wszystkie jej akcje należą do instytucji finansowych. W ostatnim czasie w IML powołano nowego dyrektora finansowego, który opowiada się za wykorzystaniem modelu CAPM jako sposobu oceny ryzyka i interpretacji reakcji giełdy na działania spółki.</w:t>
      </w:r>
    </w:p>
    <w:p w:rsidR="000540D9" w:rsidRPr="00E93722" w:rsidRDefault="000540D9" w:rsidP="00E93722">
      <w:pPr>
        <w:spacing w:after="0" w:line="240" w:lineRule="auto"/>
        <w:jc w:val="both"/>
        <w:rPr>
          <w:rFonts w:ascii="Times New Roman" w:hAnsi="Times New Roman" w:cs="Times New Roman"/>
        </w:rPr>
      </w:pPr>
      <w:r w:rsidRPr="00E93722">
        <w:rPr>
          <w:rFonts w:ascii="Times New Roman" w:hAnsi="Times New Roman" w:cs="Times New Roman"/>
        </w:rPr>
        <w:t>Poniższe informacje zostały przedłożone przez nowego dyrektora i odnoszą się do firmy konkurencyjnej działającej w tej samej branży:</w:t>
      </w:r>
    </w:p>
    <w:p w:rsidR="000540D9" w:rsidRPr="00E93722" w:rsidRDefault="000540D9" w:rsidP="00E93722">
      <w:pPr>
        <w:spacing w:after="0" w:line="240" w:lineRule="auto"/>
        <w:jc w:val="both"/>
        <w:rPr>
          <w:rFonts w:ascii="Times New Roman" w:hAnsi="Times New Roman" w:cs="Times New Roman"/>
        </w:rPr>
      </w:pPr>
      <w:r w:rsidRPr="00E93722">
        <w:rPr>
          <w:rFonts w:ascii="Times New Roman" w:hAnsi="Times New Roman" w:cs="Times New Roman"/>
        </w:rPr>
        <w:t xml:space="preserve">                               Współczynnik beta</w:t>
      </w:r>
    </w:p>
    <w:p w:rsidR="000540D9" w:rsidRPr="00E93722" w:rsidRDefault="000540D9" w:rsidP="00E93722">
      <w:pPr>
        <w:spacing w:after="0" w:line="240" w:lineRule="auto"/>
        <w:jc w:val="both"/>
        <w:rPr>
          <w:rFonts w:ascii="Times New Roman" w:hAnsi="Times New Roman" w:cs="Times New Roman"/>
        </w:rPr>
      </w:pPr>
      <w:r w:rsidRPr="00E93722">
        <w:rPr>
          <w:rFonts w:ascii="Times New Roman" w:hAnsi="Times New Roman" w:cs="Times New Roman"/>
        </w:rPr>
        <w:t>AZT Co                                           0,7</w:t>
      </w:r>
    </w:p>
    <w:p w:rsidR="000540D9" w:rsidRPr="00E93722" w:rsidRDefault="000540D9" w:rsidP="00E93722">
      <w:pPr>
        <w:spacing w:after="0" w:line="240" w:lineRule="auto"/>
        <w:jc w:val="both"/>
        <w:rPr>
          <w:rFonts w:ascii="Times New Roman" w:hAnsi="Times New Roman" w:cs="Times New Roman"/>
        </w:rPr>
      </w:pPr>
      <w:r w:rsidRPr="00E93722">
        <w:rPr>
          <w:rFonts w:ascii="Times New Roman" w:hAnsi="Times New Roman" w:cs="Times New Roman"/>
        </w:rPr>
        <w:t>Dyrektor finansowy przekazał informację, że stopa zwrotu wolna od ryzyka wynosi 5% rocznie, a oczekiwana rynkowa stopa zwrotu 15% rocznie.</w:t>
      </w:r>
    </w:p>
    <w:p w:rsidR="000540D9" w:rsidRPr="00E93722" w:rsidRDefault="000540D9" w:rsidP="00E93722">
      <w:pPr>
        <w:spacing w:after="0" w:line="240" w:lineRule="auto"/>
        <w:jc w:val="both"/>
        <w:rPr>
          <w:rFonts w:ascii="Times New Roman" w:hAnsi="Times New Roman" w:cs="Times New Roman"/>
        </w:rPr>
      </w:pPr>
    </w:p>
    <w:p w:rsidR="000540D9" w:rsidRPr="00E93722" w:rsidRDefault="000540D9" w:rsidP="00E93722">
      <w:pPr>
        <w:spacing w:after="0" w:line="240" w:lineRule="auto"/>
        <w:jc w:val="both"/>
        <w:rPr>
          <w:rFonts w:ascii="Times New Roman" w:hAnsi="Times New Roman" w:cs="Times New Roman"/>
          <w:b/>
        </w:rPr>
      </w:pPr>
      <w:r w:rsidRPr="00E93722">
        <w:rPr>
          <w:rFonts w:ascii="Times New Roman" w:hAnsi="Times New Roman" w:cs="Times New Roman"/>
          <w:b/>
        </w:rPr>
        <w:t xml:space="preserve">Zad.6. </w:t>
      </w:r>
      <w:r w:rsidRPr="00E93722">
        <w:rPr>
          <w:rFonts w:ascii="Times New Roman" w:hAnsi="Times New Roman" w:cs="Times New Roman"/>
        </w:rPr>
        <w:t>Policz, używając modelu CAPM, wymaganą stopę zwrotu z kapitału własnego spółki AZT Co.</w:t>
      </w:r>
    </w:p>
    <w:p w:rsidR="000540D9" w:rsidRPr="00E93722" w:rsidRDefault="000540D9" w:rsidP="00E93722">
      <w:pPr>
        <w:spacing w:after="0" w:line="240" w:lineRule="auto"/>
        <w:jc w:val="both"/>
        <w:rPr>
          <w:rFonts w:ascii="Times New Roman" w:hAnsi="Times New Roman" w:cs="Times New Roman"/>
          <w:lang w:val="en-US"/>
        </w:rPr>
      </w:pPr>
      <w:r w:rsidRPr="00E93722">
        <w:rPr>
          <w:rFonts w:ascii="Times New Roman" w:hAnsi="Times New Roman" w:cs="Times New Roman"/>
          <w:noProof/>
          <w:lang w:eastAsia="pl-PL"/>
        </w:rPr>
        <w:drawing>
          <wp:inline distT="0" distB="0" distL="0" distR="0" wp14:anchorId="12DA4056" wp14:editId="59E2DC09">
            <wp:extent cx="2705100" cy="438150"/>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05100" cy="438150"/>
                    </a:xfrm>
                    <a:prstGeom prst="rect">
                      <a:avLst/>
                    </a:prstGeom>
                    <a:noFill/>
                    <a:ln>
                      <a:noFill/>
                    </a:ln>
                  </pic:spPr>
                </pic:pic>
              </a:graphicData>
            </a:graphic>
          </wp:inline>
        </w:drawing>
      </w:r>
    </w:p>
    <w:p w:rsidR="000540D9" w:rsidRPr="00E93722" w:rsidRDefault="000540D9" w:rsidP="00E93722">
      <w:pPr>
        <w:spacing w:after="0" w:line="240" w:lineRule="auto"/>
        <w:jc w:val="both"/>
        <w:rPr>
          <w:rFonts w:ascii="Times New Roman" w:hAnsi="Times New Roman" w:cs="Times New Roman"/>
        </w:rPr>
      </w:pPr>
      <w:r w:rsidRPr="00E93722">
        <w:rPr>
          <w:rFonts w:ascii="Times New Roman" w:hAnsi="Times New Roman" w:cs="Times New Roman"/>
        </w:rPr>
        <w:t>Dla AZT Co:   5% + 0,7(15%-5%)= 12%</w:t>
      </w:r>
    </w:p>
    <w:p w:rsidR="000540D9" w:rsidRPr="00E93722" w:rsidRDefault="000540D9" w:rsidP="00E93722">
      <w:pPr>
        <w:spacing w:after="0" w:line="240" w:lineRule="auto"/>
        <w:jc w:val="both"/>
        <w:rPr>
          <w:rFonts w:ascii="Times New Roman" w:hAnsi="Times New Roman" w:cs="Times New Roman"/>
        </w:rPr>
      </w:pPr>
    </w:p>
    <w:p w:rsidR="000540D9" w:rsidRPr="00E93722" w:rsidRDefault="000540D9" w:rsidP="00E93722">
      <w:pPr>
        <w:spacing w:after="0" w:line="240" w:lineRule="auto"/>
        <w:jc w:val="both"/>
        <w:rPr>
          <w:rFonts w:ascii="Times New Roman" w:hAnsi="Times New Roman" w:cs="Times New Roman"/>
          <w:b/>
        </w:rPr>
      </w:pPr>
      <w:r w:rsidRPr="00E93722">
        <w:rPr>
          <w:rFonts w:ascii="Times New Roman" w:hAnsi="Times New Roman" w:cs="Times New Roman"/>
          <w:b/>
        </w:rPr>
        <w:t xml:space="preserve">Zad.7. </w:t>
      </w:r>
      <w:r w:rsidRPr="00E93722">
        <w:rPr>
          <w:rFonts w:ascii="Times New Roman" w:hAnsi="Times New Roman" w:cs="Times New Roman"/>
        </w:rPr>
        <w:t>W ciągu roku IML Co wypłaciła dywidendę w wysokości 15 centów na akcję. Pod koniec roku cena akcji wynosiła $3,15. Na początku roku jej wysokość wynosiła natomiast $2,5.</w:t>
      </w:r>
    </w:p>
    <w:p w:rsidR="000540D9" w:rsidRPr="00E93722" w:rsidRDefault="000540D9" w:rsidP="00E93722">
      <w:pPr>
        <w:spacing w:after="0" w:line="240" w:lineRule="auto"/>
        <w:jc w:val="both"/>
        <w:rPr>
          <w:rFonts w:ascii="Times New Roman" w:hAnsi="Times New Roman" w:cs="Times New Roman"/>
        </w:rPr>
      </w:pPr>
      <w:r w:rsidRPr="00E93722">
        <w:rPr>
          <w:rFonts w:ascii="Times New Roman" w:hAnsi="Times New Roman" w:cs="Times New Roman"/>
        </w:rPr>
        <w:t>Ile wynosi całkowity zwrot inwestora w tym okresie?</w:t>
      </w:r>
    </w:p>
    <w:p w:rsidR="000540D9" w:rsidRPr="00E93722" w:rsidRDefault="000540D9" w:rsidP="00E93722">
      <w:pPr>
        <w:spacing w:after="0" w:line="240" w:lineRule="auto"/>
        <w:jc w:val="both"/>
        <w:rPr>
          <w:rFonts w:ascii="Times New Roman" w:hAnsi="Times New Roman" w:cs="Times New Roman"/>
        </w:rPr>
      </w:pPr>
      <w:r w:rsidRPr="00E93722">
        <w:rPr>
          <w:rFonts w:ascii="Times New Roman" w:hAnsi="Times New Roman" w:cs="Times New Roman"/>
        </w:rPr>
        <w:t>Całkowity zwrot  akcjonariusza= (P1 – P0 + D)/ Po= 32 %</w:t>
      </w:r>
    </w:p>
    <w:p w:rsidR="000540D9" w:rsidRPr="00E93722" w:rsidRDefault="000540D9" w:rsidP="00E93722">
      <w:pPr>
        <w:spacing w:after="0" w:line="240" w:lineRule="auto"/>
        <w:jc w:val="both"/>
        <w:rPr>
          <w:rFonts w:ascii="Times New Roman" w:hAnsi="Times New Roman" w:cs="Times New Roman"/>
          <w:b/>
        </w:rPr>
      </w:pPr>
    </w:p>
    <w:p w:rsidR="000540D9" w:rsidRPr="00E93722" w:rsidRDefault="000540D9" w:rsidP="00E93722">
      <w:pPr>
        <w:spacing w:after="0" w:line="240" w:lineRule="auto"/>
        <w:jc w:val="both"/>
        <w:rPr>
          <w:rFonts w:ascii="Times New Roman" w:hAnsi="Times New Roman" w:cs="Times New Roman"/>
          <w:b/>
        </w:rPr>
      </w:pPr>
      <w:r w:rsidRPr="00E93722">
        <w:rPr>
          <w:rFonts w:ascii="Times New Roman" w:hAnsi="Times New Roman" w:cs="Times New Roman"/>
          <w:b/>
        </w:rPr>
        <w:t xml:space="preserve">Zad.8. </w:t>
      </w:r>
      <w:r w:rsidRPr="00E93722">
        <w:rPr>
          <w:rFonts w:ascii="Times New Roman" w:hAnsi="Times New Roman" w:cs="Times New Roman"/>
        </w:rPr>
        <w:t>Oblicz współczynnik beta spółki IML Co, zakładając, że jej wymagana roczna stopa zwrotu z kapitału wynosi 17%, a w środowisku giełdowym wykorzystuje się model CAPM do obliczenia współczynnika beta.</w:t>
      </w:r>
    </w:p>
    <w:p w:rsidR="000540D9" w:rsidRPr="00E93722" w:rsidRDefault="000540D9" w:rsidP="00E93722">
      <w:pPr>
        <w:spacing w:after="0" w:line="240" w:lineRule="auto"/>
        <w:jc w:val="both"/>
        <w:rPr>
          <w:rFonts w:ascii="Times New Roman" w:hAnsi="Times New Roman" w:cs="Times New Roman"/>
        </w:rPr>
      </w:pPr>
      <w:r w:rsidRPr="00E93722">
        <w:rPr>
          <w:rFonts w:ascii="Times New Roman" w:hAnsi="Times New Roman" w:cs="Times New Roman"/>
        </w:rPr>
        <w:t>Wykorzystujemy ten sam wzór co w 194:</w:t>
      </w:r>
    </w:p>
    <w:p w:rsidR="000540D9" w:rsidRPr="00E93722" w:rsidRDefault="000540D9" w:rsidP="00E93722">
      <w:pPr>
        <w:spacing w:after="0" w:line="240" w:lineRule="auto"/>
        <w:jc w:val="both"/>
        <w:rPr>
          <w:rFonts w:ascii="Times New Roman" w:hAnsi="Times New Roman" w:cs="Times New Roman"/>
          <w:b/>
        </w:rPr>
      </w:pPr>
      <w:r w:rsidRPr="00E93722">
        <w:rPr>
          <w:rFonts w:ascii="Times New Roman" w:hAnsi="Times New Roman" w:cs="Times New Roman"/>
        </w:rPr>
        <w:t xml:space="preserve">17%= 5% + </w:t>
      </w:r>
      <w:r w:rsidRPr="00E93722">
        <w:rPr>
          <w:rStyle w:val="st"/>
          <w:rFonts w:ascii="Times New Roman" w:hAnsi="Times New Roman" w:cs="Times New Roman"/>
        </w:rPr>
        <w:t>β (15%-5%)     β=1,2</w:t>
      </w:r>
    </w:p>
    <w:p w:rsidR="000540D9" w:rsidRPr="00E93722" w:rsidRDefault="000540D9" w:rsidP="00E93722">
      <w:pPr>
        <w:spacing w:after="0" w:line="240" w:lineRule="auto"/>
        <w:jc w:val="both"/>
        <w:rPr>
          <w:rFonts w:ascii="Times New Roman" w:hAnsi="Times New Roman" w:cs="Times New Roman"/>
          <w:b/>
        </w:rPr>
      </w:pPr>
    </w:p>
    <w:p w:rsidR="000540D9" w:rsidRPr="00E93722" w:rsidRDefault="000540D9" w:rsidP="00E93722">
      <w:pPr>
        <w:spacing w:after="0" w:line="240" w:lineRule="auto"/>
        <w:jc w:val="both"/>
        <w:rPr>
          <w:rFonts w:ascii="Times New Roman" w:hAnsi="Times New Roman" w:cs="Times New Roman"/>
          <w:b/>
        </w:rPr>
      </w:pPr>
    </w:p>
    <w:p w:rsidR="000540D9" w:rsidRPr="00E93722" w:rsidRDefault="000540D9" w:rsidP="00E93722">
      <w:pPr>
        <w:spacing w:after="0" w:line="240" w:lineRule="auto"/>
        <w:jc w:val="both"/>
        <w:rPr>
          <w:rFonts w:ascii="Times New Roman" w:hAnsi="Times New Roman" w:cs="Times New Roman"/>
          <w:b/>
        </w:rPr>
      </w:pPr>
    </w:p>
    <w:p w:rsidR="000540D9" w:rsidRPr="00E93722" w:rsidRDefault="000540D9" w:rsidP="00E93722">
      <w:pPr>
        <w:spacing w:after="0" w:line="240" w:lineRule="auto"/>
        <w:jc w:val="both"/>
        <w:rPr>
          <w:rFonts w:ascii="Times New Roman" w:hAnsi="Times New Roman" w:cs="Times New Roman"/>
          <w:b/>
        </w:rPr>
      </w:pPr>
    </w:p>
    <w:p w:rsidR="000540D9" w:rsidRPr="00E93722" w:rsidRDefault="000540D9" w:rsidP="00E93722">
      <w:pPr>
        <w:spacing w:after="0" w:line="240" w:lineRule="auto"/>
        <w:jc w:val="both"/>
        <w:rPr>
          <w:rFonts w:ascii="Times New Roman" w:hAnsi="Times New Roman" w:cs="Times New Roman"/>
          <w:b/>
        </w:rPr>
      </w:pPr>
      <w:r w:rsidRPr="00E93722">
        <w:rPr>
          <w:rFonts w:ascii="Times New Roman" w:hAnsi="Times New Roman" w:cs="Times New Roman"/>
          <w:b/>
        </w:rPr>
        <w:lastRenderedPageBreak/>
        <w:t xml:space="preserve">Zad.9. </w:t>
      </w:r>
      <w:r w:rsidRPr="00E93722">
        <w:rPr>
          <w:rFonts w:ascii="Times New Roman" w:hAnsi="Times New Roman" w:cs="Times New Roman"/>
        </w:rPr>
        <w:t>Które DWA spośród poniższych zdań są prawdziwe?</w:t>
      </w:r>
    </w:p>
    <w:p w:rsidR="000540D9" w:rsidRPr="00E93722" w:rsidRDefault="000540D9" w:rsidP="00E93722">
      <w:pPr>
        <w:spacing w:after="0" w:line="240" w:lineRule="auto"/>
        <w:jc w:val="both"/>
        <w:rPr>
          <w:rFonts w:ascii="Times New Roman" w:hAnsi="Times New Roman" w:cs="Times New Roman"/>
        </w:rPr>
      </w:pPr>
      <w:r w:rsidRPr="00E93722">
        <w:rPr>
          <w:rFonts w:ascii="Times New Roman" w:hAnsi="Times New Roman" w:cs="Times New Roman"/>
        </w:rPr>
        <w:t>A Jeśli cena akcji spółki IML Co przekroczy trzykrotnie współczynnik rynkowy, to współczynnik beta wynosi 3.</w:t>
      </w:r>
    </w:p>
    <w:p w:rsidR="000540D9" w:rsidRPr="00E93722" w:rsidRDefault="000540D9" w:rsidP="00E93722">
      <w:pPr>
        <w:spacing w:after="0" w:line="240" w:lineRule="auto"/>
        <w:jc w:val="both"/>
        <w:rPr>
          <w:rFonts w:ascii="Times New Roman" w:hAnsi="Times New Roman" w:cs="Times New Roman"/>
        </w:rPr>
      </w:pPr>
      <w:r w:rsidRPr="00E93722">
        <w:rPr>
          <w:rFonts w:ascii="Times New Roman" w:hAnsi="Times New Roman" w:cs="Times New Roman"/>
        </w:rPr>
        <w:t>B Współczynnik beta spółki IML Co wskazuje na poziom ryzyka niesystematycznego.</w:t>
      </w:r>
    </w:p>
    <w:p w:rsidR="000540D9" w:rsidRPr="00E93722" w:rsidRDefault="000540D9" w:rsidP="00E93722">
      <w:pPr>
        <w:spacing w:after="0" w:line="240" w:lineRule="auto"/>
        <w:jc w:val="both"/>
        <w:rPr>
          <w:rFonts w:ascii="Times New Roman" w:hAnsi="Times New Roman" w:cs="Times New Roman"/>
        </w:rPr>
      </w:pPr>
      <w:r w:rsidRPr="00E93722">
        <w:rPr>
          <w:rFonts w:ascii="Times New Roman" w:hAnsi="Times New Roman" w:cs="Times New Roman"/>
        </w:rPr>
        <w:t>C Im wyższy poziom ryzyka systematycznego, tym niższa wymagana stopa zwrotu spółki IML Co.</w:t>
      </w:r>
    </w:p>
    <w:p w:rsidR="000540D9" w:rsidRPr="00E93722" w:rsidRDefault="000540D9" w:rsidP="00E93722">
      <w:pPr>
        <w:spacing w:after="0" w:line="240" w:lineRule="auto"/>
        <w:jc w:val="both"/>
        <w:rPr>
          <w:rFonts w:ascii="Times New Roman" w:hAnsi="Times New Roman" w:cs="Times New Roman"/>
        </w:rPr>
      </w:pPr>
      <w:r w:rsidRPr="00E93722">
        <w:rPr>
          <w:rFonts w:ascii="Times New Roman" w:hAnsi="Times New Roman" w:cs="Times New Roman"/>
        </w:rPr>
        <w:t>D IML Co chciałaby osiągnąć zwrot, przekraczający stopę wolną od ryzyka.</w:t>
      </w:r>
    </w:p>
    <w:p w:rsidR="000540D9" w:rsidRPr="00E93722" w:rsidRDefault="000540D9" w:rsidP="00E93722">
      <w:pPr>
        <w:spacing w:after="0" w:line="240" w:lineRule="auto"/>
        <w:jc w:val="both"/>
        <w:rPr>
          <w:rFonts w:ascii="Times New Roman" w:hAnsi="Times New Roman" w:cs="Times New Roman"/>
        </w:rPr>
      </w:pPr>
    </w:p>
    <w:p w:rsidR="000540D9" w:rsidRPr="00E93722" w:rsidRDefault="000540D9" w:rsidP="00E93722">
      <w:pPr>
        <w:spacing w:after="0" w:line="240" w:lineRule="auto"/>
        <w:jc w:val="both"/>
        <w:rPr>
          <w:rFonts w:ascii="Times New Roman" w:hAnsi="Times New Roman" w:cs="Times New Roman"/>
        </w:rPr>
      </w:pPr>
      <w:r w:rsidRPr="00E93722">
        <w:rPr>
          <w:rFonts w:ascii="Times New Roman" w:hAnsi="Times New Roman" w:cs="Times New Roman"/>
        </w:rPr>
        <w:t>Poprawne są zdania A i D.</w:t>
      </w:r>
    </w:p>
    <w:p w:rsidR="000540D9" w:rsidRPr="00E93722" w:rsidRDefault="000540D9" w:rsidP="00E93722">
      <w:pPr>
        <w:spacing w:after="0" w:line="240" w:lineRule="auto"/>
        <w:jc w:val="both"/>
        <w:rPr>
          <w:rFonts w:ascii="Times New Roman" w:hAnsi="Times New Roman" w:cs="Times New Roman"/>
        </w:rPr>
      </w:pPr>
    </w:p>
    <w:p w:rsidR="000540D9" w:rsidRPr="00E93722" w:rsidRDefault="000540D9" w:rsidP="00E93722">
      <w:pPr>
        <w:spacing w:after="0" w:line="240" w:lineRule="auto"/>
        <w:jc w:val="both"/>
        <w:rPr>
          <w:rFonts w:ascii="Times New Roman" w:hAnsi="Times New Roman" w:cs="Times New Roman"/>
        </w:rPr>
      </w:pPr>
      <w:r w:rsidRPr="00E93722">
        <w:rPr>
          <w:rFonts w:ascii="Times New Roman" w:hAnsi="Times New Roman" w:cs="Times New Roman"/>
        </w:rPr>
        <w:t>Współczynnik beta jest miarą zmienności stopy zwrotu akcji w odniesieniu do rynku. Jeśli na przykład cena akcji przekroczy trzykrotnie wskaźnik rynkowy, to współczynnik beta będzie wynosił 3.</w:t>
      </w:r>
    </w:p>
    <w:p w:rsidR="000540D9" w:rsidRPr="00E93722" w:rsidRDefault="000540D9" w:rsidP="00E93722">
      <w:pPr>
        <w:spacing w:after="0" w:line="240" w:lineRule="auto"/>
        <w:jc w:val="both"/>
        <w:rPr>
          <w:rFonts w:ascii="Times New Roman" w:hAnsi="Times New Roman" w:cs="Times New Roman"/>
        </w:rPr>
      </w:pPr>
      <w:r w:rsidRPr="00E93722">
        <w:rPr>
          <w:rFonts w:ascii="Times New Roman" w:hAnsi="Times New Roman" w:cs="Times New Roman"/>
        </w:rPr>
        <w:t>Współczynnik beta wskazuje na poziom ryzyka systematycznego, czyli takiego, którego nie można zdywersyfikować.</w:t>
      </w:r>
    </w:p>
    <w:p w:rsidR="000540D9" w:rsidRPr="00E93722" w:rsidRDefault="000540D9" w:rsidP="00E93722">
      <w:pPr>
        <w:spacing w:after="0" w:line="240" w:lineRule="auto"/>
        <w:jc w:val="both"/>
        <w:rPr>
          <w:rFonts w:ascii="Times New Roman" w:hAnsi="Times New Roman" w:cs="Times New Roman"/>
        </w:rPr>
      </w:pPr>
      <w:r w:rsidRPr="00E93722">
        <w:rPr>
          <w:rFonts w:ascii="Times New Roman" w:hAnsi="Times New Roman" w:cs="Times New Roman"/>
        </w:rPr>
        <w:t>Im wyższy poziom ryzyka systematycznego, tym wyższa wymagana stopa zwrotu.</w:t>
      </w:r>
    </w:p>
    <w:p w:rsidR="000540D9" w:rsidRPr="00E93722" w:rsidRDefault="000540D9" w:rsidP="00E93722">
      <w:pPr>
        <w:spacing w:after="0" w:line="240" w:lineRule="auto"/>
        <w:jc w:val="both"/>
        <w:rPr>
          <w:rFonts w:ascii="Times New Roman" w:hAnsi="Times New Roman" w:cs="Times New Roman"/>
        </w:rPr>
      </w:pPr>
      <w:r w:rsidRPr="00E93722">
        <w:rPr>
          <w:rFonts w:ascii="Times New Roman" w:hAnsi="Times New Roman" w:cs="Times New Roman"/>
        </w:rPr>
        <w:t>Prawdą jest, że spółki chcą zwrotu wyższego niż stopa wolna od ryzyka.</w:t>
      </w:r>
    </w:p>
    <w:p w:rsidR="000540D9" w:rsidRPr="00E93722" w:rsidRDefault="000540D9" w:rsidP="00E93722">
      <w:pPr>
        <w:spacing w:after="0" w:line="240" w:lineRule="auto"/>
        <w:jc w:val="both"/>
        <w:rPr>
          <w:rFonts w:ascii="Times New Roman" w:hAnsi="Times New Roman" w:cs="Times New Roman"/>
        </w:rPr>
      </w:pPr>
    </w:p>
    <w:p w:rsidR="000540D9" w:rsidRPr="00E93722" w:rsidRDefault="000540D9" w:rsidP="00E93722">
      <w:pPr>
        <w:spacing w:after="0" w:line="240" w:lineRule="auto"/>
        <w:jc w:val="both"/>
        <w:rPr>
          <w:rFonts w:ascii="Times New Roman" w:hAnsi="Times New Roman" w:cs="Times New Roman"/>
          <w:b/>
        </w:rPr>
      </w:pPr>
      <w:r w:rsidRPr="00E93722">
        <w:rPr>
          <w:rFonts w:ascii="Times New Roman" w:hAnsi="Times New Roman" w:cs="Times New Roman"/>
          <w:b/>
        </w:rPr>
        <w:t xml:space="preserve">Zad.10. </w:t>
      </w:r>
      <w:r w:rsidRPr="00E93722">
        <w:rPr>
          <w:rFonts w:ascii="Times New Roman" w:hAnsi="Times New Roman" w:cs="Times New Roman"/>
        </w:rPr>
        <w:t>Czy poniższe zdania są prawdziwe?</w:t>
      </w:r>
    </w:p>
    <w:p w:rsidR="000540D9" w:rsidRPr="00E93722" w:rsidRDefault="000540D9" w:rsidP="00E93722">
      <w:pPr>
        <w:spacing w:after="0" w:line="240" w:lineRule="auto"/>
        <w:jc w:val="both"/>
        <w:rPr>
          <w:rFonts w:ascii="Times New Roman" w:hAnsi="Times New Roman" w:cs="Times New Roman"/>
        </w:rPr>
      </w:pPr>
      <w:r w:rsidRPr="00E93722">
        <w:rPr>
          <w:rFonts w:ascii="Times New Roman" w:hAnsi="Times New Roman" w:cs="Times New Roman"/>
        </w:rPr>
        <w:t>Model CAPM zakłada, że inwestorzy IML Co posiadają w pełni zdywersyfikowany portfel.</w:t>
      </w:r>
    </w:p>
    <w:p w:rsidR="000540D9" w:rsidRPr="00E93722" w:rsidRDefault="000540D9" w:rsidP="00E93722">
      <w:pPr>
        <w:spacing w:after="0" w:line="240" w:lineRule="auto"/>
        <w:jc w:val="both"/>
        <w:rPr>
          <w:rFonts w:ascii="Times New Roman" w:hAnsi="Times New Roman" w:cs="Times New Roman"/>
        </w:rPr>
      </w:pPr>
      <w:r w:rsidRPr="00E93722">
        <w:rPr>
          <w:rFonts w:ascii="Times New Roman" w:hAnsi="Times New Roman" w:cs="Times New Roman"/>
        </w:rPr>
        <w:t>Jeśli IML Co ma niski wskaźnik P/E, model CAPM nie jest w stanie przewidzieć dokładnie zwrotu.</w:t>
      </w:r>
    </w:p>
    <w:p w:rsidR="000540D9" w:rsidRPr="00E93722" w:rsidRDefault="000540D9" w:rsidP="00E93722">
      <w:pPr>
        <w:spacing w:after="0" w:line="240" w:lineRule="auto"/>
        <w:jc w:val="both"/>
        <w:rPr>
          <w:rFonts w:ascii="Times New Roman" w:hAnsi="Times New Roman" w:cs="Times New Roman"/>
        </w:rPr>
      </w:pPr>
    </w:p>
    <w:p w:rsidR="000540D9" w:rsidRPr="00E93722" w:rsidRDefault="000540D9" w:rsidP="00E93722">
      <w:pPr>
        <w:spacing w:after="0" w:line="240" w:lineRule="auto"/>
        <w:jc w:val="both"/>
        <w:rPr>
          <w:rFonts w:ascii="Times New Roman" w:hAnsi="Times New Roman" w:cs="Times New Roman"/>
        </w:rPr>
      </w:pPr>
      <w:r w:rsidRPr="00E93722">
        <w:rPr>
          <w:rFonts w:ascii="Times New Roman" w:hAnsi="Times New Roman" w:cs="Times New Roman"/>
        </w:rPr>
        <w:t>Oba zdania są prawdziwe.</w:t>
      </w:r>
    </w:p>
    <w:p w:rsidR="000540D9" w:rsidRPr="00E93722" w:rsidRDefault="000540D9" w:rsidP="00E93722">
      <w:pPr>
        <w:spacing w:after="0" w:line="240" w:lineRule="auto"/>
        <w:jc w:val="both"/>
        <w:rPr>
          <w:rFonts w:ascii="Times New Roman" w:hAnsi="Times New Roman" w:cs="Times New Roman"/>
        </w:rPr>
      </w:pPr>
    </w:p>
    <w:p w:rsidR="000540D9" w:rsidRPr="00E93722" w:rsidRDefault="000540D9" w:rsidP="00E93722">
      <w:pPr>
        <w:spacing w:after="0" w:line="240" w:lineRule="auto"/>
        <w:jc w:val="both"/>
        <w:rPr>
          <w:rFonts w:ascii="Times New Roman" w:hAnsi="Times New Roman" w:cs="Times New Roman"/>
        </w:rPr>
      </w:pPr>
      <w:r w:rsidRPr="00E93722">
        <w:rPr>
          <w:rFonts w:ascii="Times New Roman" w:hAnsi="Times New Roman" w:cs="Times New Roman"/>
        </w:rPr>
        <w:t>W modelu CAPM wymagana stopa zwrotu instrumentu jest związana z ryzykiem systematycznym a nie całkowitym. Tylko ryzyka, których nie można wyeliminować dywersyfikacją, są istotne. Zakłada się że inwestorzy będą utrzymywać w pełni zdywersyfikowany portfel, a zatem będą sami ograniczać ryzyko niesystematyczne.</w:t>
      </w:r>
    </w:p>
    <w:p w:rsidR="000540D9" w:rsidRPr="00E93722" w:rsidRDefault="000540D9" w:rsidP="00E93722">
      <w:pPr>
        <w:spacing w:after="0" w:line="240" w:lineRule="auto"/>
        <w:jc w:val="both"/>
        <w:rPr>
          <w:rFonts w:ascii="Times New Roman" w:hAnsi="Times New Roman" w:cs="Times New Roman"/>
        </w:rPr>
      </w:pPr>
      <w:r w:rsidRPr="00E93722">
        <w:rPr>
          <w:rFonts w:ascii="Times New Roman" w:hAnsi="Times New Roman" w:cs="Times New Roman"/>
        </w:rPr>
        <w:t>Model CAPM nie jest w stanie przewidzieć dokładnych zwrotów dla spółek z niskim wskaźnikiem P/E.</w:t>
      </w:r>
    </w:p>
    <w:p w:rsidR="000540D9" w:rsidRPr="00E93722" w:rsidRDefault="000540D9" w:rsidP="00E93722">
      <w:pPr>
        <w:spacing w:after="0" w:line="240" w:lineRule="auto"/>
        <w:rPr>
          <w:rFonts w:ascii="Times New Roman" w:hAnsi="Times New Roman" w:cs="Times New Roman"/>
        </w:rPr>
      </w:pPr>
    </w:p>
    <w:p w:rsidR="000540D9" w:rsidRPr="00E93722" w:rsidRDefault="000540D9" w:rsidP="00E93722">
      <w:pPr>
        <w:spacing w:after="0" w:line="240" w:lineRule="auto"/>
        <w:jc w:val="both"/>
        <w:rPr>
          <w:rFonts w:ascii="Times New Roman" w:hAnsi="Times New Roman" w:cs="Times New Roman"/>
        </w:rPr>
      </w:pPr>
      <w:r w:rsidRPr="00E93722">
        <w:rPr>
          <w:rFonts w:ascii="Times New Roman" w:hAnsi="Times New Roman" w:cs="Times New Roman"/>
        </w:rPr>
        <w:t>Zad.11.</w:t>
      </w:r>
    </w:p>
    <w:p w:rsidR="000E2146" w:rsidRPr="00E93722" w:rsidRDefault="000E2146" w:rsidP="00E93722">
      <w:pPr>
        <w:spacing w:after="0" w:line="240" w:lineRule="auto"/>
        <w:jc w:val="both"/>
        <w:rPr>
          <w:rFonts w:ascii="Times New Roman" w:hAnsi="Times New Roman" w:cs="Times New Roman"/>
        </w:rPr>
      </w:pPr>
      <w:r w:rsidRPr="00E93722">
        <w:rPr>
          <w:rFonts w:ascii="Times New Roman" w:hAnsi="Times New Roman" w:cs="Times New Roman"/>
        </w:rPr>
        <w:t>Spółka WC Co ogłosiła, że zdecydowała się zainwestować w nowy projekt o dużej dodatniej wartości netto. Cena akcji podwoiła się wczoraj. O czym to świadczy?</w:t>
      </w:r>
    </w:p>
    <w:p w:rsidR="000E2146" w:rsidRPr="00E93722" w:rsidRDefault="000E2146" w:rsidP="00E93722">
      <w:pPr>
        <w:spacing w:after="0" w:line="240" w:lineRule="auto"/>
        <w:jc w:val="both"/>
        <w:rPr>
          <w:rFonts w:ascii="Times New Roman" w:hAnsi="Times New Roman" w:cs="Times New Roman"/>
        </w:rPr>
      </w:pPr>
      <w:r w:rsidRPr="00E93722">
        <w:rPr>
          <w:rFonts w:ascii="Times New Roman" w:hAnsi="Times New Roman" w:cs="Times New Roman"/>
        </w:rPr>
        <w:t>a) A semi-strong form efficient market / Półsilna hipoteza rynku efektywnego</w:t>
      </w:r>
    </w:p>
    <w:p w:rsidR="000E2146" w:rsidRPr="00E93722" w:rsidRDefault="000E2146" w:rsidP="00E93722">
      <w:pPr>
        <w:spacing w:after="0" w:line="240" w:lineRule="auto"/>
        <w:jc w:val="both"/>
        <w:rPr>
          <w:rFonts w:ascii="Times New Roman" w:hAnsi="Times New Roman" w:cs="Times New Roman"/>
        </w:rPr>
      </w:pPr>
      <w:r w:rsidRPr="00E93722">
        <w:rPr>
          <w:rFonts w:ascii="Times New Roman" w:hAnsi="Times New Roman" w:cs="Times New Roman"/>
        </w:rPr>
        <w:t>b) A strong form efficient market / Silna hipoteza rynku efektywnego</w:t>
      </w:r>
    </w:p>
    <w:p w:rsidR="000E2146" w:rsidRPr="00E93722" w:rsidRDefault="000E2146" w:rsidP="00E93722">
      <w:pPr>
        <w:spacing w:after="0" w:line="240" w:lineRule="auto"/>
        <w:jc w:val="both"/>
        <w:rPr>
          <w:rFonts w:ascii="Times New Roman" w:hAnsi="Times New Roman" w:cs="Times New Roman"/>
        </w:rPr>
      </w:pPr>
      <w:r w:rsidRPr="00E93722">
        <w:rPr>
          <w:rFonts w:ascii="Times New Roman" w:hAnsi="Times New Roman" w:cs="Times New Roman"/>
        </w:rPr>
        <w:t>c) Technical analysis/Analiza techniczna</w:t>
      </w:r>
    </w:p>
    <w:p w:rsidR="000E2146" w:rsidRPr="00E93722" w:rsidRDefault="000E2146" w:rsidP="00E93722">
      <w:pPr>
        <w:spacing w:after="0" w:line="240" w:lineRule="auto"/>
        <w:jc w:val="both"/>
        <w:rPr>
          <w:rFonts w:ascii="Times New Roman" w:hAnsi="Times New Roman" w:cs="Times New Roman"/>
        </w:rPr>
      </w:pPr>
      <w:r w:rsidRPr="00E93722">
        <w:rPr>
          <w:rFonts w:ascii="Times New Roman" w:hAnsi="Times New Roman" w:cs="Times New Roman"/>
        </w:rPr>
        <w:t>d) A weak form efficient market / Słaba hipoteza rynku efektywnego</w:t>
      </w:r>
    </w:p>
    <w:p w:rsidR="000E2146" w:rsidRPr="00E93722" w:rsidRDefault="000E2146" w:rsidP="00E93722">
      <w:pPr>
        <w:spacing w:after="0" w:line="240" w:lineRule="auto"/>
        <w:jc w:val="both"/>
        <w:rPr>
          <w:rFonts w:ascii="Times New Roman" w:hAnsi="Times New Roman" w:cs="Times New Roman"/>
        </w:rPr>
      </w:pPr>
    </w:p>
    <w:p w:rsidR="000E2146" w:rsidRPr="00E93722" w:rsidRDefault="000E2146" w:rsidP="00E93722">
      <w:pPr>
        <w:spacing w:after="0" w:line="240" w:lineRule="auto"/>
        <w:jc w:val="both"/>
        <w:rPr>
          <w:rFonts w:ascii="Times New Roman" w:hAnsi="Times New Roman" w:cs="Times New Roman"/>
        </w:rPr>
      </w:pPr>
      <w:r w:rsidRPr="00E93722">
        <w:rPr>
          <w:rFonts w:ascii="Times New Roman" w:hAnsi="Times New Roman" w:cs="Times New Roman"/>
        </w:rPr>
        <w:t>Poprawna odpowiedź b). Reakcja na zmianę ceny akcji zaistniała zanim informacja o nowym projekcie stała się publiczna. Wskazuje to na silną hipotezę efektywnego rynku, ponieważ w silnej hipotezie cena akcji odzwierciedla nawet prywatne informacje.</w:t>
      </w:r>
    </w:p>
    <w:p w:rsidR="000E2146" w:rsidRPr="00E93722" w:rsidRDefault="000E2146" w:rsidP="00E93722">
      <w:pPr>
        <w:spacing w:after="0" w:line="240" w:lineRule="auto"/>
        <w:jc w:val="both"/>
        <w:rPr>
          <w:rFonts w:ascii="Times New Roman" w:hAnsi="Times New Roman" w:cs="Times New Roman"/>
        </w:rPr>
      </w:pPr>
    </w:p>
    <w:p w:rsidR="000E2146" w:rsidRPr="00E93722" w:rsidRDefault="000E2146" w:rsidP="00E93722">
      <w:pPr>
        <w:spacing w:after="0" w:line="240" w:lineRule="auto"/>
        <w:jc w:val="both"/>
        <w:rPr>
          <w:rFonts w:ascii="Times New Roman" w:hAnsi="Times New Roman" w:cs="Times New Roman"/>
        </w:rPr>
      </w:pPr>
      <w:r w:rsidRPr="00E93722">
        <w:rPr>
          <w:rFonts w:ascii="Times New Roman" w:hAnsi="Times New Roman" w:cs="Times New Roman"/>
        </w:rPr>
        <w:t>Słaba hipoteza rynku efektywnego zakłada, że obecne ceny papierów wartościowych odzwierciedlają wszystkie historyczne informacje oraz dane cenowe. Oznacza to, że przyszłych zmian cen nie można w żaden sposób przewidzieć na podstawie przeszłych cen i innych wskaźników takich jak wysokość obrotów. Gdyby ta hipoteza była prawdziwa, wówczas zastosowanie analizy technicznej jako narzędzia do podejmowania decyzji o zakupie czy sprzedaży papierów wartościowych nie mogłoby przynieść ponadprzeciętnych zysków.</w:t>
      </w:r>
    </w:p>
    <w:p w:rsidR="000E2146" w:rsidRPr="00E93722" w:rsidRDefault="000E2146" w:rsidP="00E93722">
      <w:pPr>
        <w:spacing w:after="0" w:line="240" w:lineRule="auto"/>
        <w:jc w:val="both"/>
        <w:rPr>
          <w:rFonts w:ascii="Times New Roman" w:hAnsi="Times New Roman" w:cs="Times New Roman"/>
        </w:rPr>
      </w:pPr>
      <w:r w:rsidRPr="00E93722">
        <w:rPr>
          <w:rFonts w:ascii="Times New Roman" w:hAnsi="Times New Roman" w:cs="Times New Roman"/>
        </w:rPr>
        <w:t>Półsilna hipoteza rynku efektywnego zakłada, że obecne ceny papierów wartościowych odzwierciedlają wszystkie publicznie dostępne informacje, włączając w to dane historyczne, raporty finansowe, prognozy ekonomiczne, itp. Gdyby ta hipoteza była prawdziwa, wówczas zastosowanie zarówno analizy technicznej jak i analizy fundamentalnej do podejmowania decyzji inwestycyjnych nie mogłoby przynieść ponadprzeciętnych zysków.</w:t>
      </w:r>
    </w:p>
    <w:p w:rsidR="000E2146" w:rsidRPr="00E93722" w:rsidRDefault="000E2146" w:rsidP="00E93722">
      <w:pPr>
        <w:spacing w:after="0" w:line="240" w:lineRule="auto"/>
        <w:jc w:val="both"/>
        <w:rPr>
          <w:rFonts w:ascii="Times New Roman" w:hAnsi="Times New Roman" w:cs="Times New Roman"/>
        </w:rPr>
      </w:pPr>
      <w:r w:rsidRPr="00E93722">
        <w:rPr>
          <w:rFonts w:ascii="Times New Roman" w:hAnsi="Times New Roman" w:cs="Times New Roman"/>
        </w:rPr>
        <w:t>Silna hipoteza rynku efektywnego zakłada, że obecne ceny papierów wartościowych odzwierciedlają wszystkie dostępne informacje, zarówno publiczne, jak i niepubliczne. Gdyby ta hipoteza była prawdziwa, wówczas ani analiza techniczna, ani fundamentalna, ani nawet insider trading nie mógłby przynieść ponadprzeciętnych zysków.</w:t>
      </w:r>
    </w:p>
    <w:p w:rsidR="000E2146" w:rsidRPr="00E93722" w:rsidRDefault="000E2146" w:rsidP="00E93722">
      <w:pPr>
        <w:spacing w:after="0" w:line="240" w:lineRule="auto"/>
        <w:jc w:val="both"/>
        <w:rPr>
          <w:rFonts w:ascii="Times New Roman" w:hAnsi="Times New Roman" w:cs="Times New Roman"/>
        </w:rPr>
      </w:pPr>
    </w:p>
    <w:p w:rsidR="000E2146" w:rsidRPr="00E93722" w:rsidRDefault="000E2146" w:rsidP="00E93722">
      <w:pPr>
        <w:spacing w:after="0" w:line="240" w:lineRule="auto"/>
        <w:jc w:val="both"/>
        <w:rPr>
          <w:rFonts w:ascii="Times New Roman" w:hAnsi="Times New Roman" w:cs="Times New Roman"/>
        </w:rPr>
      </w:pPr>
    </w:p>
    <w:p w:rsidR="000E2146" w:rsidRPr="00E93722" w:rsidRDefault="000E2146" w:rsidP="00E93722">
      <w:pPr>
        <w:spacing w:after="0" w:line="240" w:lineRule="auto"/>
        <w:jc w:val="both"/>
        <w:rPr>
          <w:rFonts w:ascii="Times New Roman" w:hAnsi="Times New Roman" w:cs="Times New Roman"/>
        </w:rPr>
      </w:pPr>
    </w:p>
    <w:p w:rsidR="000E2146" w:rsidRPr="00E93722" w:rsidRDefault="000E2146" w:rsidP="00E93722">
      <w:pPr>
        <w:spacing w:after="0" w:line="240" w:lineRule="auto"/>
        <w:jc w:val="both"/>
        <w:rPr>
          <w:rFonts w:ascii="Times New Roman" w:hAnsi="Times New Roman" w:cs="Times New Roman"/>
        </w:rPr>
      </w:pPr>
    </w:p>
    <w:p w:rsidR="000E2146" w:rsidRPr="00E93722" w:rsidRDefault="000E2146" w:rsidP="00E93722">
      <w:pPr>
        <w:spacing w:after="0" w:line="240" w:lineRule="auto"/>
        <w:jc w:val="both"/>
        <w:rPr>
          <w:rFonts w:ascii="Times New Roman" w:hAnsi="Times New Roman" w:cs="Times New Roman"/>
        </w:rPr>
      </w:pPr>
    </w:p>
    <w:p w:rsidR="000E2146" w:rsidRPr="00E93722" w:rsidRDefault="000E2146" w:rsidP="00E93722">
      <w:pPr>
        <w:spacing w:after="0" w:line="240" w:lineRule="auto"/>
        <w:jc w:val="both"/>
        <w:rPr>
          <w:rFonts w:ascii="Times New Roman" w:hAnsi="Times New Roman" w:cs="Times New Roman"/>
        </w:rPr>
      </w:pPr>
    </w:p>
    <w:p w:rsidR="000E2146" w:rsidRPr="00E93722" w:rsidRDefault="000E2146" w:rsidP="00E93722">
      <w:pPr>
        <w:spacing w:after="0" w:line="240" w:lineRule="auto"/>
        <w:jc w:val="both"/>
        <w:rPr>
          <w:rFonts w:ascii="Times New Roman" w:hAnsi="Times New Roman" w:cs="Times New Roman"/>
        </w:rPr>
      </w:pPr>
    </w:p>
    <w:p w:rsidR="000E2146" w:rsidRPr="00E93722" w:rsidRDefault="000E2146" w:rsidP="00E93722">
      <w:pPr>
        <w:spacing w:after="0" w:line="240" w:lineRule="auto"/>
        <w:jc w:val="both"/>
        <w:rPr>
          <w:rFonts w:ascii="Times New Roman" w:hAnsi="Times New Roman" w:cs="Times New Roman"/>
        </w:rPr>
      </w:pPr>
    </w:p>
    <w:p w:rsidR="000E2146" w:rsidRPr="00E93722" w:rsidRDefault="000E2146" w:rsidP="00E93722">
      <w:pPr>
        <w:spacing w:after="0" w:line="240" w:lineRule="auto"/>
        <w:jc w:val="both"/>
        <w:rPr>
          <w:rFonts w:ascii="Times New Roman" w:hAnsi="Times New Roman" w:cs="Times New Roman"/>
        </w:rPr>
      </w:pPr>
    </w:p>
    <w:p w:rsidR="000E2146" w:rsidRPr="00E93722" w:rsidRDefault="000E2146" w:rsidP="00E93722">
      <w:pPr>
        <w:spacing w:after="0" w:line="240" w:lineRule="auto"/>
        <w:jc w:val="both"/>
        <w:rPr>
          <w:rFonts w:ascii="Times New Roman" w:hAnsi="Times New Roman" w:cs="Times New Roman"/>
        </w:rPr>
      </w:pPr>
      <w:r w:rsidRPr="00E93722">
        <w:rPr>
          <w:rFonts w:ascii="Times New Roman" w:hAnsi="Times New Roman" w:cs="Times New Roman"/>
        </w:rPr>
        <w:lastRenderedPageBreak/>
        <w:t>Zad.12.</w:t>
      </w:r>
    </w:p>
    <w:p w:rsidR="000E2146" w:rsidRPr="00E93722" w:rsidRDefault="000E2146" w:rsidP="00E93722">
      <w:pPr>
        <w:spacing w:after="0" w:line="240" w:lineRule="auto"/>
        <w:jc w:val="both"/>
        <w:rPr>
          <w:rFonts w:ascii="Times New Roman" w:hAnsi="Times New Roman" w:cs="Times New Roman"/>
        </w:rPr>
      </w:pPr>
      <w:r w:rsidRPr="00E93722">
        <w:rPr>
          <w:rFonts w:ascii="Times New Roman" w:hAnsi="Times New Roman" w:cs="Times New Roman"/>
        </w:rPr>
        <w:t>Jai uważa, że czytanie pierwszych edycji gazet nie ma żadnej wartości w odniesieniu do formułowania strategii inwestycyjnej dotyczącej jego port folio. Za jak bardzo efektywne Jan uważa rynki kapitałowe?</w:t>
      </w:r>
    </w:p>
    <w:p w:rsidR="000E2146" w:rsidRPr="00E93722" w:rsidRDefault="000E2146" w:rsidP="00E93722">
      <w:pPr>
        <w:spacing w:after="0" w:line="240" w:lineRule="auto"/>
        <w:jc w:val="both"/>
        <w:rPr>
          <w:rFonts w:ascii="Times New Roman" w:hAnsi="Times New Roman" w:cs="Times New Roman"/>
        </w:rPr>
      </w:pPr>
      <w:r w:rsidRPr="00E93722">
        <w:rPr>
          <w:rFonts w:ascii="Times New Roman" w:hAnsi="Times New Roman" w:cs="Times New Roman"/>
        </w:rPr>
        <w:t>a) Weak form efficient / Słaba hipoteza efektywnosci</w:t>
      </w:r>
    </w:p>
    <w:p w:rsidR="000E2146" w:rsidRPr="00E93722" w:rsidRDefault="000E2146" w:rsidP="00E93722">
      <w:pPr>
        <w:spacing w:after="0" w:line="240" w:lineRule="auto"/>
        <w:jc w:val="both"/>
        <w:rPr>
          <w:rFonts w:ascii="Times New Roman" w:hAnsi="Times New Roman" w:cs="Times New Roman"/>
        </w:rPr>
      </w:pPr>
      <w:r w:rsidRPr="00E93722">
        <w:rPr>
          <w:rFonts w:ascii="Times New Roman" w:hAnsi="Times New Roman" w:cs="Times New Roman"/>
        </w:rPr>
        <w:t>b) Strong form efficient / Silna hipoteza efektywności</w:t>
      </w:r>
    </w:p>
    <w:p w:rsidR="000E2146" w:rsidRPr="00E93722" w:rsidRDefault="000E2146" w:rsidP="00E93722">
      <w:pPr>
        <w:spacing w:after="0" w:line="240" w:lineRule="auto"/>
        <w:jc w:val="both"/>
        <w:rPr>
          <w:rFonts w:ascii="Times New Roman" w:hAnsi="Times New Roman" w:cs="Times New Roman"/>
        </w:rPr>
      </w:pPr>
      <w:r w:rsidRPr="00E93722">
        <w:rPr>
          <w:rFonts w:ascii="Times New Roman" w:hAnsi="Times New Roman" w:cs="Times New Roman"/>
        </w:rPr>
        <w:t>c) Semi-strong form efficient / Półsilna hipoteza efektywności</w:t>
      </w:r>
    </w:p>
    <w:p w:rsidR="000E2146" w:rsidRPr="00E93722" w:rsidRDefault="000E2146" w:rsidP="00E93722">
      <w:pPr>
        <w:spacing w:after="0" w:line="240" w:lineRule="auto"/>
        <w:jc w:val="both"/>
        <w:rPr>
          <w:rFonts w:ascii="Times New Roman" w:hAnsi="Times New Roman" w:cs="Times New Roman"/>
        </w:rPr>
      </w:pPr>
      <w:r w:rsidRPr="00E93722">
        <w:rPr>
          <w:rFonts w:ascii="Times New Roman" w:hAnsi="Times New Roman" w:cs="Times New Roman"/>
        </w:rPr>
        <w:t>d) Semi-strong or strong form efficient / Półsilna lub silna hipoteza efektywności</w:t>
      </w:r>
    </w:p>
    <w:p w:rsidR="000E2146" w:rsidRPr="00E93722" w:rsidRDefault="000E2146" w:rsidP="00E93722">
      <w:pPr>
        <w:spacing w:after="0" w:line="240" w:lineRule="auto"/>
        <w:jc w:val="both"/>
        <w:rPr>
          <w:rFonts w:ascii="Times New Roman" w:hAnsi="Times New Roman" w:cs="Times New Roman"/>
        </w:rPr>
      </w:pPr>
    </w:p>
    <w:p w:rsidR="000E2146" w:rsidRPr="00E93722" w:rsidRDefault="000E2146" w:rsidP="00E93722">
      <w:pPr>
        <w:spacing w:after="0" w:line="240" w:lineRule="auto"/>
        <w:jc w:val="both"/>
        <w:rPr>
          <w:rFonts w:ascii="Times New Roman" w:hAnsi="Times New Roman" w:cs="Times New Roman"/>
        </w:rPr>
      </w:pPr>
      <w:r w:rsidRPr="00E93722">
        <w:rPr>
          <w:rFonts w:ascii="Times New Roman" w:hAnsi="Times New Roman" w:cs="Times New Roman"/>
        </w:rPr>
        <w:t xml:space="preserve">Poprawna odpowiedź d). </w:t>
      </w:r>
    </w:p>
    <w:p w:rsidR="000E2146" w:rsidRPr="00E93722" w:rsidRDefault="000E2146" w:rsidP="00E93722">
      <w:pPr>
        <w:spacing w:after="0" w:line="240" w:lineRule="auto"/>
        <w:jc w:val="both"/>
        <w:rPr>
          <w:rFonts w:ascii="Times New Roman" w:hAnsi="Times New Roman" w:cs="Times New Roman"/>
        </w:rPr>
      </w:pPr>
      <w:r w:rsidRPr="00E93722">
        <w:rPr>
          <w:rFonts w:ascii="Times New Roman" w:hAnsi="Times New Roman" w:cs="Times New Roman"/>
        </w:rPr>
        <w:t>a) W przypadku słabej hipotezy efektywności rynku, rynek nie zareaguje na nowo ogłoszone informacje, dlatego strategia oparta na publicznie dostępnych informacjach mogłaby działać.</w:t>
      </w:r>
    </w:p>
    <w:p w:rsidR="000E2146" w:rsidRPr="00E93722" w:rsidRDefault="000E2146" w:rsidP="00E93722">
      <w:pPr>
        <w:spacing w:after="0" w:line="240" w:lineRule="auto"/>
        <w:jc w:val="both"/>
        <w:rPr>
          <w:rFonts w:ascii="Times New Roman" w:hAnsi="Times New Roman" w:cs="Times New Roman"/>
        </w:rPr>
      </w:pPr>
      <w:r w:rsidRPr="00E93722">
        <w:rPr>
          <w:rFonts w:ascii="Times New Roman" w:hAnsi="Times New Roman" w:cs="Times New Roman"/>
        </w:rPr>
        <w:t>b) Wszelkie publiczne informacje są już odzwierciedlone w cenach na rynku zatem czytanie gazet w celu określenia właściwej strategii nie ma większego sensu, nie zadziała.</w:t>
      </w:r>
    </w:p>
    <w:p w:rsidR="000E2146" w:rsidRPr="00E93722" w:rsidRDefault="000E2146" w:rsidP="00E93722">
      <w:pPr>
        <w:spacing w:after="0" w:line="240" w:lineRule="auto"/>
        <w:jc w:val="both"/>
        <w:rPr>
          <w:rFonts w:ascii="Times New Roman" w:hAnsi="Times New Roman" w:cs="Times New Roman"/>
        </w:rPr>
      </w:pPr>
      <w:r w:rsidRPr="00E93722">
        <w:rPr>
          <w:rFonts w:ascii="Times New Roman" w:hAnsi="Times New Roman" w:cs="Times New Roman"/>
        </w:rPr>
        <w:t>c)  Wszelkie publiczne oraz niepubliczne informacje są już odzwierciedlone w cenach na rynku zatem czytanie gazet nie jest właściwym rozwiązaniem.</w:t>
      </w:r>
    </w:p>
    <w:p w:rsidR="000E2146" w:rsidRPr="00E93722" w:rsidRDefault="000E2146" w:rsidP="00E93722">
      <w:pPr>
        <w:spacing w:after="0" w:line="240" w:lineRule="auto"/>
        <w:jc w:val="both"/>
        <w:rPr>
          <w:rFonts w:ascii="Times New Roman" w:hAnsi="Times New Roman" w:cs="Times New Roman"/>
        </w:rPr>
      </w:pPr>
      <w:r w:rsidRPr="00E93722">
        <w:rPr>
          <w:rFonts w:ascii="Times New Roman" w:hAnsi="Times New Roman" w:cs="Times New Roman"/>
        </w:rPr>
        <w:t>Jeśli Jan uważa za bezcelowe czytanie gazet, według niego na rynku występuje półsilna lub silna hipoteza efektywności.</w:t>
      </w:r>
    </w:p>
    <w:p w:rsidR="000E2146" w:rsidRPr="00E93722" w:rsidRDefault="000E2146" w:rsidP="00E93722">
      <w:pPr>
        <w:spacing w:after="0" w:line="240" w:lineRule="auto"/>
        <w:jc w:val="both"/>
        <w:rPr>
          <w:rFonts w:ascii="Times New Roman" w:hAnsi="Times New Roman" w:cs="Times New Roman"/>
        </w:rPr>
      </w:pPr>
    </w:p>
    <w:p w:rsidR="000E2146" w:rsidRPr="00E93722" w:rsidRDefault="000E2146" w:rsidP="00E93722">
      <w:pPr>
        <w:spacing w:after="0" w:line="240" w:lineRule="auto"/>
        <w:jc w:val="both"/>
        <w:rPr>
          <w:rFonts w:ascii="Times New Roman" w:hAnsi="Times New Roman" w:cs="Times New Roman"/>
        </w:rPr>
      </w:pPr>
      <w:r w:rsidRPr="00E93722">
        <w:rPr>
          <w:rFonts w:ascii="Times New Roman" w:hAnsi="Times New Roman" w:cs="Times New Roman"/>
        </w:rPr>
        <w:t>Zad.13.</w:t>
      </w:r>
    </w:p>
    <w:p w:rsidR="000E2146" w:rsidRPr="00E93722" w:rsidRDefault="000E2146" w:rsidP="00E93722">
      <w:pPr>
        <w:spacing w:after="0" w:line="240" w:lineRule="auto"/>
        <w:jc w:val="both"/>
        <w:rPr>
          <w:rFonts w:ascii="Times New Roman" w:hAnsi="Times New Roman" w:cs="Times New Roman"/>
        </w:rPr>
      </w:pPr>
      <w:r w:rsidRPr="00E93722">
        <w:rPr>
          <w:rFonts w:ascii="Times New Roman" w:hAnsi="Times New Roman" w:cs="Times New Roman"/>
        </w:rPr>
        <w:t xml:space="preserve">Sarah zdecydowała </w:t>
      </w:r>
      <w:r w:rsidR="005E7213">
        <w:rPr>
          <w:rFonts w:ascii="Times New Roman" w:hAnsi="Times New Roman" w:cs="Times New Roman"/>
        </w:rPr>
        <w:t>obserwować analizy techniczne ostatnich zmian cen akcji</w:t>
      </w:r>
      <w:r w:rsidRPr="00E93722">
        <w:rPr>
          <w:rFonts w:ascii="Times New Roman" w:hAnsi="Times New Roman" w:cs="Times New Roman"/>
        </w:rPr>
        <w:t>, aby wychwycić wzorce i stworzyć strategię inwestycyjną. Co, zdaniem Sary, występuje na giełdzie?</w:t>
      </w:r>
    </w:p>
    <w:p w:rsidR="000E2146" w:rsidRPr="00E93722" w:rsidRDefault="000E2146" w:rsidP="00E93722">
      <w:pPr>
        <w:spacing w:after="0" w:line="240" w:lineRule="auto"/>
        <w:jc w:val="both"/>
        <w:rPr>
          <w:rFonts w:ascii="Times New Roman" w:hAnsi="Times New Roman" w:cs="Times New Roman"/>
        </w:rPr>
      </w:pPr>
      <w:r w:rsidRPr="00E93722">
        <w:rPr>
          <w:rFonts w:ascii="Times New Roman" w:hAnsi="Times New Roman" w:cs="Times New Roman"/>
        </w:rPr>
        <w:t>a)  Completely inefficient / Całkowity brak nieefektywnosci</w:t>
      </w:r>
    </w:p>
    <w:p w:rsidR="000E2146" w:rsidRPr="00E93722" w:rsidRDefault="000E2146" w:rsidP="00E93722">
      <w:pPr>
        <w:spacing w:after="0" w:line="240" w:lineRule="auto"/>
        <w:jc w:val="both"/>
        <w:rPr>
          <w:rFonts w:ascii="Times New Roman" w:hAnsi="Times New Roman" w:cs="Times New Roman"/>
        </w:rPr>
      </w:pPr>
      <w:r w:rsidRPr="00E93722">
        <w:rPr>
          <w:rFonts w:ascii="Times New Roman" w:hAnsi="Times New Roman" w:cs="Times New Roman"/>
        </w:rPr>
        <w:t xml:space="preserve">b) Weak form efficient / Słaba hipoteza efektywności </w:t>
      </w:r>
    </w:p>
    <w:p w:rsidR="000E2146" w:rsidRPr="00E93722" w:rsidRDefault="000E2146" w:rsidP="00E93722">
      <w:pPr>
        <w:spacing w:after="0" w:line="240" w:lineRule="auto"/>
        <w:jc w:val="both"/>
        <w:rPr>
          <w:rFonts w:ascii="Times New Roman" w:hAnsi="Times New Roman" w:cs="Times New Roman"/>
        </w:rPr>
      </w:pPr>
      <w:r w:rsidRPr="00E93722">
        <w:rPr>
          <w:rFonts w:ascii="Times New Roman" w:hAnsi="Times New Roman" w:cs="Times New Roman"/>
        </w:rPr>
        <w:t>c) Strong form efficient / Silna hipoteza efektywności</w:t>
      </w:r>
    </w:p>
    <w:p w:rsidR="000E2146" w:rsidRPr="00E93722" w:rsidRDefault="000E2146" w:rsidP="00E93722">
      <w:pPr>
        <w:spacing w:after="0" w:line="240" w:lineRule="auto"/>
        <w:jc w:val="both"/>
        <w:rPr>
          <w:rFonts w:ascii="Times New Roman" w:hAnsi="Times New Roman" w:cs="Times New Roman"/>
        </w:rPr>
      </w:pPr>
      <w:r w:rsidRPr="00E93722">
        <w:rPr>
          <w:rFonts w:ascii="Times New Roman" w:hAnsi="Times New Roman" w:cs="Times New Roman"/>
        </w:rPr>
        <w:t>d) Semi-strong form efficient / Półsilna hipoteza efektywności</w:t>
      </w:r>
    </w:p>
    <w:p w:rsidR="000E2146" w:rsidRPr="00E93722" w:rsidRDefault="000E2146" w:rsidP="00E93722">
      <w:pPr>
        <w:spacing w:after="0" w:line="240" w:lineRule="auto"/>
        <w:jc w:val="both"/>
        <w:rPr>
          <w:rFonts w:ascii="Times New Roman" w:hAnsi="Times New Roman" w:cs="Times New Roman"/>
        </w:rPr>
      </w:pPr>
    </w:p>
    <w:p w:rsidR="000E2146" w:rsidRPr="00E93722" w:rsidRDefault="000E2146" w:rsidP="00E93722">
      <w:pPr>
        <w:spacing w:after="0" w:line="240" w:lineRule="auto"/>
        <w:jc w:val="both"/>
        <w:rPr>
          <w:rFonts w:ascii="Times New Roman" w:hAnsi="Times New Roman" w:cs="Times New Roman"/>
        </w:rPr>
      </w:pPr>
      <w:r w:rsidRPr="00E93722">
        <w:rPr>
          <w:rFonts w:ascii="Times New Roman" w:hAnsi="Times New Roman" w:cs="Times New Roman"/>
        </w:rPr>
        <w:t>Poprawna odpowiedź a). W przypadku słabej hipotezy efektywności rynku wszyscy inwestorzy znają historyczne zmiany cen akcji, co zatrzymuje wzorce w sposób ciągły oraz przewidywalność powtarzania się. W związku z tym Sara musi uważać, że giełda nie wykazuje nawet słabej efektywności.</w:t>
      </w:r>
    </w:p>
    <w:p w:rsidR="000E2146" w:rsidRPr="00E93722" w:rsidRDefault="000E2146" w:rsidP="00E93722">
      <w:pPr>
        <w:spacing w:after="0" w:line="240" w:lineRule="auto"/>
        <w:jc w:val="both"/>
        <w:rPr>
          <w:rFonts w:ascii="Times New Roman" w:hAnsi="Times New Roman" w:cs="Times New Roman"/>
        </w:rPr>
      </w:pPr>
    </w:p>
    <w:p w:rsidR="000E2146" w:rsidRPr="00E93722" w:rsidRDefault="000E2146" w:rsidP="00E93722">
      <w:pPr>
        <w:spacing w:after="0" w:line="240" w:lineRule="auto"/>
        <w:jc w:val="both"/>
        <w:rPr>
          <w:rFonts w:ascii="Times New Roman" w:hAnsi="Times New Roman" w:cs="Times New Roman"/>
        </w:rPr>
      </w:pPr>
      <w:r w:rsidRPr="00E93722">
        <w:rPr>
          <w:rFonts w:ascii="Times New Roman" w:hAnsi="Times New Roman" w:cs="Times New Roman"/>
        </w:rPr>
        <w:t>Zad.14.</w:t>
      </w:r>
    </w:p>
    <w:p w:rsidR="000E2146" w:rsidRPr="00E93722" w:rsidRDefault="000E2146" w:rsidP="00E93722">
      <w:pPr>
        <w:spacing w:after="0" w:line="240" w:lineRule="auto"/>
        <w:jc w:val="both"/>
        <w:rPr>
          <w:rFonts w:ascii="Times New Roman" w:hAnsi="Times New Roman" w:cs="Times New Roman"/>
        </w:rPr>
      </w:pPr>
      <w:r w:rsidRPr="00E93722">
        <w:rPr>
          <w:rFonts w:ascii="Times New Roman" w:hAnsi="Times New Roman" w:cs="Times New Roman"/>
        </w:rPr>
        <w:t>Które z poniższych jest dowodem na występowanie półsinej hipotezy efektywności giełdy?</w:t>
      </w:r>
    </w:p>
    <w:p w:rsidR="000E2146" w:rsidRPr="00E93722" w:rsidRDefault="000E2146" w:rsidP="00E93722">
      <w:pPr>
        <w:spacing w:after="0" w:line="240" w:lineRule="auto"/>
        <w:jc w:val="both"/>
        <w:rPr>
          <w:rFonts w:ascii="Times New Roman" w:hAnsi="Times New Roman" w:cs="Times New Roman"/>
        </w:rPr>
      </w:pPr>
    </w:p>
    <w:p w:rsidR="000E2146" w:rsidRPr="00E93722" w:rsidRDefault="000E2146" w:rsidP="00E93722">
      <w:pPr>
        <w:spacing w:after="0" w:line="240" w:lineRule="auto"/>
        <w:jc w:val="both"/>
        <w:rPr>
          <w:rFonts w:ascii="Times New Roman" w:hAnsi="Times New Roman" w:cs="Times New Roman"/>
        </w:rPr>
      </w:pPr>
      <w:r w:rsidRPr="00E93722">
        <w:rPr>
          <w:rFonts w:ascii="Times New Roman" w:hAnsi="Times New Roman" w:cs="Times New Roman"/>
        </w:rPr>
        <w:t>a) Repeating patterns appear to exist / Występowanie powtarzających się wzorców</w:t>
      </w:r>
      <w:r w:rsidR="005B447D">
        <w:rPr>
          <w:rFonts w:ascii="Times New Roman" w:hAnsi="Times New Roman" w:cs="Times New Roman"/>
        </w:rPr>
        <w:t xml:space="preserve"> analizy technicznej</w:t>
      </w:r>
    </w:p>
    <w:p w:rsidR="000E2146" w:rsidRPr="00E93722" w:rsidRDefault="000E2146" w:rsidP="00E93722">
      <w:pPr>
        <w:spacing w:after="0" w:line="240" w:lineRule="auto"/>
        <w:jc w:val="both"/>
        <w:rPr>
          <w:rFonts w:ascii="Times New Roman" w:hAnsi="Times New Roman" w:cs="Times New Roman"/>
        </w:rPr>
      </w:pPr>
      <w:r w:rsidRPr="00E93722">
        <w:rPr>
          <w:rFonts w:ascii="Times New Roman" w:hAnsi="Times New Roman" w:cs="Times New Roman"/>
        </w:rPr>
        <w:t xml:space="preserve">b) Attempting to trade on consistently repeating patterns is unlikely to work / Próba prowadzenia handlu opierającego się na stale powtarzających się wzorcach </w:t>
      </w:r>
      <w:r w:rsidR="005B447D">
        <w:rPr>
          <w:rFonts w:ascii="Times New Roman" w:hAnsi="Times New Roman" w:cs="Times New Roman"/>
        </w:rPr>
        <w:t xml:space="preserve">a. technicznej </w:t>
      </w:r>
      <w:r w:rsidRPr="00E93722">
        <w:rPr>
          <w:rFonts w:ascii="Times New Roman" w:hAnsi="Times New Roman" w:cs="Times New Roman"/>
        </w:rPr>
        <w:t>prawdopodobnie zawiedzie</w:t>
      </w:r>
    </w:p>
    <w:p w:rsidR="000E2146" w:rsidRPr="00E93722" w:rsidRDefault="000E2146" w:rsidP="00E93722">
      <w:pPr>
        <w:spacing w:after="0" w:line="240" w:lineRule="auto"/>
        <w:jc w:val="both"/>
        <w:rPr>
          <w:rFonts w:ascii="Times New Roman" w:hAnsi="Times New Roman" w:cs="Times New Roman"/>
        </w:rPr>
      </w:pPr>
      <w:r w:rsidRPr="00E93722">
        <w:rPr>
          <w:rFonts w:ascii="Times New Roman" w:hAnsi="Times New Roman" w:cs="Times New Roman"/>
        </w:rPr>
        <w:t>c) The majority of share price reaction to news occurs when it is announced / Większość zmian cen w skutek nowych informacji następuje, gdy te zostaną ogłoszone publicznie</w:t>
      </w:r>
    </w:p>
    <w:p w:rsidR="000E2146" w:rsidRPr="00E93722" w:rsidRDefault="000E2146" w:rsidP="00E93722">
      <w:pPr>
        <w:spacing w:after="0" w:line="240" w:lineRule="auto"/>
        <w:jc w:val="both"/>
        <w:rPr>
          <w:rFonts w:ascii="Times New Roman" w:hAnsi="Times New Roman" w:cs="Times New Roman"/>
        </w:rPr>
      </w:pPr>
      <w:r w:rsidRPr="00E93722">
        <w:rPr>
          <w:rFonts w:ascii="Times New Roman" w:hAnsi="Times New Roman" w:cs="Times New Roman"/>
        </w:rPr>
        <w:t>d) Share price reaction occurs before announcements are made public / Ceny akcji zmieniają się zanim informacje zostaną ogłoszone publicznie</w:t>
      </w:r>
    </w:p>
    <w:p w:rsidR="000E2146" w:rsidRPr="00E93722" w:rsidRDefault="000E2146" w:rsidP="00E93722">
      <w:pPr>
        <w:spacing w:after="0" w:line="240" w:lineRule="auto"/>
        <w:jc w:val="both"/>
        <w:rPr>
          <w:rFonts w:ascii="Times New Roman" w:hAnsi="Times New Roman" w:cs="Times New Roman"/>
        </w:rPr>
      </w:pPr>
    </w:p>
    <w:p w:rsidR="000E2146" w:rsidRPr="00E93722" w:rsidRDefault="000E2146" w:rsidP="00E93722">
      <w:pPr>
        <w:spacing w:after="0" w:line="240" w:lineRule="auto"/>
        <w:jc w:val="both"/>
        <w:rPr>
          <w:rFonts w:ascii="Times New Roman" w:hAnsi="Times New Roman" w:cs="Times New Roman"/>
        </w:rPr>
      </w:pPr>
      <w:r w:rsidRPr="00E93722">
        <w:rPr>
          <w:rFonts w:ascii="Times New Roman" w:hAnsi="Times New Roman" w:cs="Times New Roman"/>
        </w:rPr>
        <w:t xml:space="preserve">Poprawna odpowiedz c). </w:t>
      </w:r>
    </w:p>
    <w:p w:rsidR="000E2146" w:rsidRPr="00E93722" w:rsidRDefault="000E2146" w:rsidP="00E93722">
      <w:pPr>
        <w:spacing w:after="0" w:line="240" w:lineRule="auto"/>
        <w:jc w:val="both"/>
        <w:rPr>
          <w:rFonts w:ascii="Times New Roman" w:hAnsi="Times New Roman" w:cs="Times New Roman"/>
        </w:rPr>
      </w:pPr>
      <w:r w:rsidRPr="00E93722">
        <w:rPr>
          <w:rFonts w:ascii="Times New Roman" w:hAnsi="Times New Roman" w:cs="Times New Roman"/>
        </w:rPr>
        <w:t>Zdanie A nawiązuje do rynków zupełnie nieefektywnych. B) nawiązuje do słabej hipotezy rynku efektywnego. C) nawiązuje do zmian cen w skutek pojawienie się upublicznionych informacji, co jest zgodne z półsilną hipotezą rynku efektywnego. D) nawiązuje do silnej hipotezy rynku efektywnego, gdzie ceny reagują również na informacje, które nie zostały jeszcze upublicznione.</w:t>
      </w:r>
    </w:p>
    <w:p w:rsidR="000E2146" w:rsidRPr="00E93722" w:rsidRDefault="000E2146" w:rsidP="00E93722">
      <w:pPr>
        <w:spacing w:after="0" w:line="240" w:lineRule="auto"/>
        <w:jc w:val="both"/>
        <w:rPr>
          <w:rFonts w:ascii="Times New Roman" w:hAnsi="Times New Roman" w:cs="Times New Roman"/>
        </w:rPr>
      </w:pPr>
    </w:p>
    <w:p w:rsidR="000E2146" w:rsidRPr="00E93722" w:rsidRDefault="000E2146" w:rsidP="00E93722">
      <w:pPr>
        <w:spacing w:after="0" w:line="240" w:lineRule="auto"/>
        <w:jc w:val="both"/>
        <w:rPr>
          <w:rFonts w:ascii="Times New Roman" w:hAnsi="Times New Roman" w:cs="Times New Roman"/>
        </w:rPr>
      </w:pPr>
      <w:r w:rsidRPr="00E93722">
        <w:rPr>
          <w:rFonts w:ascii="Times New Roman" w:hAnsi="Times New Roman" w:cs="Times New Roman"/>
        </w:rPr>
        <w:t>Zad.15. Czy poniższe zdania są prawdziwe?</w:t>
      </w:r>
    </w:p>
    <w:p w:rsidR="000E2146" w:rsidRPr="00E93722" w:rsidRDefault="000E2146" w:rsidP="00E93722">
      <w:pPr>
        <w:spacing w:after="0" w:line="240" w:lineRule="auto"/>
        <w:jc w:val="both"/>
        <w:rPr>
          <w:rFonts w:ascii="Times New Roman" w:hAnsi="Times New Roman" w:cs="Times New Roman"/>
        </w:rPr>
      </w:pPr>
    </w:p>
    <w:p w:rsidR="000E2146" w:rsidRPr="00E93722" w:rsidRDefault="000E2146" w:rsidP="00E93722">
      <w:pPr>
        <w:spacing w:after="0" w:line="240" w:lineRule="auto"/>
        <w:jc w:val="both"/>
        <w:rPr>
          <w:rFonts w:ascii="Times New Roman" w:hAnsi="Times New Roman" w:cs="Times New Roman"/>
        </w:rPr>
      </w:pPr>
      <w:r w:rsidRPr="00E93722">
        <w:rPr>
          <w:rFonts w:ascii="Times New Roman" w:hAnsi="Times New Roman" w:cs="Times New Roman"/>
        </w:rPr>
        <w:t>a) Fundamental analysis values shares according to the expected future cash flowsand risk of a business / Analiza fundamentalna wycenia udziały zgodnie z oczekiwanymi przyszłymi przepływami pieniężnymi oraz ryzykiem</w:t>
      </w:r>
    </w:p>
    <w:p w:rsidR="000E2146" w:rsidRPr="00E93722" w:rsidRDefault="000E2146" w:rsidP="00E93722">
      <w:pPr>
        <w:spacing w:after="0" w:line="240" w:lineRule="auto"/>
        <w:jc w:val="both"/>
        <w:rPr>
          <w:rFonts w:ascii="Times New Roman" w:hAnsi="Times New Roman" w:cs="Times New Roman"/>
        </w:rPr>
      </w:pPr>
      <w:r w:rsidRPr="00E93722">
        <w:rPr>
          <w:rFonts w:ascii="Times New Roman" w:hAnsi="Times New Roman" w:cs="Times New Roman"/>
        </w:rPr>
        <w:t xml:space="preserve">b) </w:t>
      </w:r>
      <w:r w:rsidR="001B3DBC">
        <w:rPr>
          <w:rFonts w:ascii="Times New Roman" w:hAnsi="Times New Roman" w:cs="Times New Roman"/>
        </w:rPr>
        <w:t>Fundamental</w:t>
      </w:r>
      <w:r w:rsidRPr="00E93722">
        <w:rPr>
          <w:rFonts w:ascii="Times New Roman" w:hAnsi="Times New Roman" w:cs="Times New Roman"/>
        </w:rPr>
        <w:t xml:space="preserve"> analysis values a share based on past share price movements and patterns / Analiza </w:t>
      </w:r>
      <w:r w:rsidR="001B3DBC">
        <w:rPr>
          <w:rFonts w:ascii="Times New Roman" w:hAnsi="Times New Roman" w:cs="Times New Roman"/>
        </w:rPr>
        <w:t>fundamentalna</w:t>
      </w:r>
      <w:bookmarkStart w:id="0" w:name="_GoBack"/>
      <w:bookmarkEnd w:id="0"/>
      <w:r w:rsidRPr="00E93722">
        <w:rPr>
          <w:rFonts w:ascii="Times New Roman" w:hAnsi="Times New Roman" w:cs="Times New Roman"/>
        </w:rPr>
        <w:t xml:space="preserve"> wycenia udziały opierając się na historycznych zmianach cen akcji oraz wzorcach</w:t>
      </w:r>
    </w:p>
    <w:p w:rsidR="000E2146" w:rsidRPr="00E93722" w:rsidRDefault="000E2146" w:rsidP="00E93722">
      <w:pPr>
        <w:spacing w:after="0" w:line="240" w:lineRule="auto"/>
        <w:jc w:val="both"/>
        <w:rPr>
          <w:rFonts w:ascii="Times New Roman" w:hAnsi="Times New Roman" w:cs="Times New Roman"/>
        </w:rPr>
      </w:pPr>
      <w:r w:rsidRPr="00E93722">
        <w:rPr>
          <w:rFonts w:ascii="Times New Roman" w:hAnsi="Times New Roman" w:cs="Times New Roman"/>
        </w:rPr>
        <w:t>Poprawna odpowiedź: a) prawda b) fałsz.</w:t>
      </w:r>
    </w:p>
    <w:p w:rsidR="000E2146" w:rsidRPr="00E93722" w:rsidRDefault="000E2146" w:rsidP="00E93722">
      <w:pPr>
        <w:spacing w:after="0" w:line="240" w:lineRule="auto"/>
        <w:jc w:val="both"/>
        <w:rPr>
          <w:rFonts w:ascii="Times New Roman" w:hAnsi="Times New Roman" w:cs="Times New Roman"/>
        </w:rPr>
      </w:pPr>
      <w:r w:rsidRPr="00E93722">
        <w:rPr>
          <w:rFonts w:ascii="Times New Roman" w:hAnsi="Times New Roman" w:cs="Times New Roman"/>
        </w:rPr>
        <w:t>Analiza fundamentalna wycenia udziały zgodnie z przyszłymi, przyrostowymi przepływami pieniężnymi związanymi z tym udziałem oraz z oczekiwaną stopą zwrotu. Analiza fundamentalna stara się przewidzieć ruchy cen, przewidując powtarzające się wzorce powstałe przy analizie historycznych zmian cen.</w:t>
      </w:r>
    </w:p>
    <w:p w:rsidR="000E2146" w:rsidRPr="00E93722" w:rsidRDefault="000E2146" w:rsidP="00E93722">
      <w:pPr>
        <w:spacing w:after="0" w:line="240" w:lineRule="auto"/>
        <w:jc w:val="both"/>
        <w:rPr>
          <w:rFonts w:ascii="Times New Roman" w:hAnsi="Times New Roman" w:cs="Times New Roman"/>
        </w:rPr>
      </w:pPr>
    </w:p>
    <w:p w:rsidR="000E2146" w:rsidRPr="00E93722" w:rsidRDefault="000E2146" w:rsidP="00E93722">
      <w:pPr>
        <w:spacing w:after="0" w:line="240" w:lineRule="auto"/>
        <w:jc w:val="both"/>
        <w:rPr>
          <w:rFonts w:ascii="Times New Roman" w:hAnsi="Times New Roman" w:cs="Times New Roman"/>
        </w:rPr>
      </w:pPr>
    </w:p>
    <w:p w:rsidR="000E2146" w:rsidRPr="00E93722" w:rsidRDefault="000E2146" w:rsidP="00E93722">
      <w:pPr>
        <w:spacing w:after="0" w:line="240" w:lineRule="auto"/>
        <w:jc w:val="both"/>
        <w:rPr>
          <w:rFonts w:ascii="Times New Roman" w:hAnsi="Times New Roman" w:cs="Times New Roman"/>
        </w:rPr>
      </w:pPr>
    </w:p>
    <w:p w:rsidR="000E2146" w:rsidRPr="00E93722" w:rsidRDefault="003321E2" w:rsidP="00E93722">
      <w:pPr>
        <w:spacing w:after="0" w:line="240" w:lineRule="auto"/>
        <w:jc w:val="both"/>
        <w:rPr>
          <w:rFonts w:ascii="Times New Roman" w:hAnsi="Times New Roman" w:cs="Times New Roman"/>
        </w:rPr>
      </w:pPr>
      <w:r w:rsidRPr="00E93722">
        <w:rPr>
          <w:rFonts w:ascii="Times New Roman" w:hAnsi="Times New Roman" w:cs="Times New Roman"/>
        </w:rPr>
        <w:t>Dane:</w:t>
      </w:r>
    </w:p>
    <w:p w:rsidR="003321E2" w:rsidRPr="00E93722" w:rsidRDefault="003321E2" w:rsidP="00E93722">
      <w:pPr>
        <w:spacing w:after="0" w:line="240" w:lineRule="auto"/>
        <w:jc w:val="both"/>
        <w:rPr>
          <w:rFonts w:ascii="Times New Roman" w:hAnsi="Times New Roman" w:cs="Times New Roman"/>
        </w:rPr>
      </w:pPr>
      <w:r w:rsidRPr="00E93722">
        <w:rPr>
          <w:rFonts w:ascii="Times New Roman" w:hAnsi="Times New Roman" w:cs="Times New Roman"/>
        </w:rPr>
        <w:t>Najnowsze informacje finansowe dotyczące Close Co, spółki notowanej na giełdzie, przedstawiają się następująco (w mln $)</w:t>
      </w:r>
    </w:p>
    <w:p w:rsidR="003321E2" w:rsidRPr="00E93722" w:rsidRDefault="003321E2" w:rsidP="00E93722">
      <w:pPr>
        <w:spacing w:after="0" w:line="240" w:lineRule="auto"/>
        <w:jc w:val="both"/>
        <w:rPr>
          <w:rFonts w:ascii="Times New Roman" w:hAnsi="Times New Roman" w:cs="Times New Roman"/>
        </w:rPr>
      </w:pPr>
      <w:r w:rsidRPr="00E93722">
        <w:rPr>
          <w:rFonts w:ascii="Times New Roman" w:hAnsi="Times New Roman" w:cs="Times New Roman"/>
        </w:rPr>
        <w:t>Zysk po opodatkowaniu</w:t>
      </w:r>
      <w:r w:rsidRPr="00E93722">
        <w:rPr>
          <w:rFonts w:ascii="Times New Roman" w:hAnsi="Times New Roman" w:cs="Times New Roman"/>
        </w:rPr>
        <w:tab/>
      </w:r>
      <w:r w:rsidRPr="00E93722">
        <w:rPr>
          <w:rFonts w:ascii="Times New Roman" w:hAnsi="Times New Roman" w:cs="Times New Roman"/>
        </w:rPr>
        <w:tab/>
      </w:r>
      <w:r w:rsidRPr="00E93722">
        <w:rPr>
          <w:rFonts w:ascii="Times New Roman" w:hAnsi="Times New Roman" w:cs="Times New Roman"/>
        </w:rPr>
        <w:tab/>
        <w:t>66,6</w:t>
      </w:r>
    </w:p>
    <w:p w:rsidR="003321E2" w:rsidRPr="00E93722" w:rsidRDefault="003321E2" w:rsidP="00E93722">
      <w:pPr>
        <w:spacing w:after="0" w:line="240" w:lineRule="auto"/>
        <w:jc w:val="both"/>
        <w:rPr>
          <w:rFonts w:ascii="Times New Roman" w:hAnsi="Times New Roman" w:cs="Times New Roman"/>
        </w:rPr>
      </w:pPr>
      <w:r w:rsidRPr="00E93722">
        <w:rPr>
          <w:rFonts w:ascii="Times New Roman" w:hAnsi="Times New Roman" w:cs="Times New Roman"/>
        </w:rPr>
        <w:t>Dywidendy</w:t>
      </w:r>
      <w:r w:rsidRPr="00E93722">
        <w:rPr>
          <w:rFonts w:ascii="Times New Roman" w:hAnsi="Times New Roman" w:cs="Times New Roman"/>
        </w:rPr>
        <w:tab/>
      </w:r>
      <w:r w:rsidRPr="00E93722">
        <w:rPr>
          <w:rFonts w:ascii="Times New Roman" w:hAnsi="Times New Roman" w:cs="Times New Roman"/>
        </w:rPr>
        <w:tab/>
      </w:r>
      <w:r w:rsidRPr="00E93722">
        <w:rPr>
          <w:rFonts w:ascii="Times New Roman" w:hAnsi="Times New Roman" w:cs="Times New Roman"/>
        </w:rPr>
        <w:tab/>
      </w:r>
      <w:r w:rsidRPr="00E93722">
        <w:rPr>
          <w:rFonts w:ascii="Times New Roman" w:hAnsi="Times New Roman" w:cs="Times New Roman"/>
        </w:rPr>
        <w:tab/>
        <w:t>40,0</w:t>
      </w:r>
    </w:p>
    <w:p w:rsidR="003321E2" w:rsidRPr="00E93722" w:rsidRDefault="003321E2" w:rsidP="00E93722">
      <w:pPr>
        <w:spacing w:after="0" w:line="240" w:lineRule="auto"/>
        <w:jc w:val="both"/>
        <w:rPr>
          <w:rFonts w:ascii="Times New Roman" w:hAnsi="Times New Roman" w:cs="Times New Roman"/>
        </w:rPr>
      </w:pPr>
    </w:p>
    <w:p w:rsidR="003321E2" w:rsidRPr="00E93722" w:rsidRDefault="003321E2" w:rsidP="00E93722">
      <w:pPr>
        <w:spacing w:after="0" w:line="240" w:lineRule="auto"/>
        <w:jc w:val="both"/>
        <w:rPr>
          <w:rFonts w:ascii="Times New Roman" w:hAnsi="Times New Roman" w:cs="Times New Roman"/>
        </w:rPr>
      </w:pPr>
      <w:r w:rsidRPr="00E93722">
        <w:rPr>
          <w:rFonts w:ascii="Times New Roman" w:hAnsi="Times New Roman" w:cs="Times New Roman"/>
        </w:rPr>
        <w:t xml:space="preserve">Informacje o stanie finansowym: </w:t>
      </w:r>
    </w:p>
    <w:p w:rsidR="003321E2" w:rsidRPr="00E93722" w:rsidRDefault="003321E2" w:rsidP="00E93722">
      <w:pPr>
        <w:spacing w:after="0" w:line="240" w:lineRule="auto"/>
        <w:jc w:val="both"/>
        <w:rPr>
          <w:rFonts w:ascii="Times New Roman" w:hAnsi="Times New Roman" w:cs="Times New Roman"/>
        </w:rPr>
      </w:pPr>
      <w:r w:rsidRPr="00E93722">
        <w:rPr>
          <w:rFonts w:ascii="Times New Roman" w:hAnsi="Times New Roman" w:cs="Times New Roman"/>
        </w:rPr>
        <w:t>Aktywa trwałe</w:t>
      </w:r>
      <w:r w:rsidRPr="00E93722">
        <w:rPr>
          <w:rFonts w:ascii="Times New Roman" w:hAnsi="Times New Roman" w:cs="Times New Roman"/>
        </w:rPr>
        <w:tab/>
      </w:r>
      <w:r w:rsidRPr="00E93722">
        <w:rPr>
          <w:rFonts w:ascii="Times New Roman" w:hAnsi="Times New Roman" w:cs="Times New Roman"/>
        </w:rPr>
        <w:tab/>
      </w:r>
      <w:r w:rsidRPr="00E93722">
        <w:rPr>
          <w:rFonts w:ascii="Times New Roman" w:hAnsi="Times New Roman" w:cs="Times New Roman"/>
        </w:rPr>
        <w:tab/>
      </w:r>
      <w:r w:rsidRPr="00E93722">
        <w:rPr>
          <w:rFonts w:ascii="Times New Roman" w:hAnsi="Times New Roman" w:cs="Times New Roman"/>
        </w:rPr>
        <w:tab/>
        <w:t>595</w:t>
      </w:r>
    </w:p>
    <w:p w:rsidR="003321E2" w:rsidRPr="00E93722" w:rsidRDefault="003321E2" w:rsidP="00E93722">
      <w:pPr>
        <w:spacing w:after="0" w:line="240" w:lineRule="auto"/>
        <w:jc w:val="both"/>
        <w:rPr>
          <w:rFonts w:ascii="Times New Roman" w:hAnsi="Times New Roman" w:cs="Times New Roman"/>
        </w:rPr>
      </w:pPr>
      <w:r w:rsidRPr="00E93722">
        <w:rPr>
          <w:rFonts w:ascii="Times New Roman" w:hAnsi="Times New Roman" w:cs="Times New Roman"/>
        </w:rPr>
        <w:t>Aktywa obrotowe</w:t>
      </w:r>
      <w:r w:rsidRPr="00E93722">
        <w:rPr>
          <w:rFonts w:ascii="Times New Roman" w:hAnsi="Times New Roman" w:cs="Times New Roman"/>
        </w:rPr>
        <w:tab/>
      </w:r>
      <w:r w:rsidRPr="00E93722">
        <w:rPr>
          <w:rFonts w:ascii="Times New Roman" w:hAnsi="Times New Roman" w:cs="Times New Roman"/>
        </w:rPr>
        <w:tab/>
      </w:r>
      <w:r w:rsidRPr="00E93722">
        <w:rPr>
          <w:rFonts w:ascii="Times New Roman" w:hAnsi="Times New Roman" w:cs="Times New Roman"/>
        </w:rPr>
        <w:tab/>
      </w:r>
      <w:r w:rsidRPr="00E93722">
        <w:rPr>
          <w:rFonts w:ascii="Times New Roman" w:hAnsi="Times New Roman" w:cs="Times New Roman"/>
        </w:rPr>
        <w:tab/>
        <w:t>125</w:t>
      </w:r>
    </w:p>
    <w:p w:rsidR="003321E2" w:rsidRPr="00E93722" w:rsidRDefault="003321E2" w:rsidP="00E93722">
      <w:pPr>
        <w:spacing w:after="0" w:line="240" w:lineRule="auto"/>
        <w:jc w:val="both"/>
        <w:rPr>
          <w:rFonts w:ascii="Times New Roman" w:hAnsi="Times New Roman" w:cs="Times New Roman"/>
        </w:rPr>
      </w:pPr>
      <w:r w:rsidRPr="00E93722">
        <w:rPr>
          <w:rFonts w:ascii="Times New Roman" w:hAnsi="Times New Roman" w:cs="Times New Roman"/>
        </w:rPr>
        <w:t>Aktywa razem</w:t>
      </w:r>
      <w:r w:rsidRPr="00E93722">
        <w:rPr>
          <w:rFonts w:ascii="Times New Roman" w:hAnsi="Times New Roman" w:cs="Times New Roman"/>
        </w:rPr>
        <w:tab/>
      </w:r>
      <w:r w:rsidRPr="00E93722">
        <w:rPr>
          <w:rFonts w:ascii="Times New Roman" w:hAnsi="Times New Roman" w:cs="Times New Roman"/>
        </w:rPr>
        <w:tab/>
      </w:r>
      <w:r w:rsidRPr="00E93722">
        <w:rPr>
          <w:rFonts w:ascii="Times New Roman" w:hAnsi="Times New Roman" w:cs="Times New Roman"/>
        </w:rPr>
        <w:tab/>
      </w:r>
      <w:r w:rsidRPr="00E93722">
        <w:rPr>
          <w:rFonts w:ascii="Times New Roman" w:hAnsi="Times New Roman" w:cs="Times New Roman"/>
        </w:rPr>
        <w:tab/>
        <w:t>720</w:t>
      </w:r>
    </w:p>
    <w:p w:rsidR="003321E2" w:rsidRPr="00E93722" w:rsidRDefault="003321E2" w:rsidP="00E93722">
      <w:pPr>
        <w:spacing w:after="0" w:line="240" w:lineRule="auto"/>
        <w:jc w:val="both"/>
        <w:rPr>
          <w:rFonts w:ascii="Times New Roman" w:hAnsi="Times New Roman" w:cs="Times New Roman"/>
        </w:rPr>
      </w:pPr>
    </w:p>
    <w:p w:rsidR="003321E2" w:rsidRPr="00E93722" w:rsidRDefault="003321E2" w:rsidP="00E93722">
      <w:pPr>
        <w:spacing w:after="0" w:line="240" w:lineRule="auto"/>
        <w:jc w:val="both"/>
        <w:rPr>
          <w:rFonts w:ascii="Times New Roman" w:hAnsi="Times New Roman" w:cs="Times New Roman"/>
        </w:rPr>
      </w:pPr>
      <w:r w:rsidRPr="00E93722">
        <w:rPr>
          <w:rFonts w:ascii="Times New Roman" w:hAnsi="Times New Roman" w:cs="Times New Roman"/>
        </w:rPr>
        <w:t>Kapitał własny</w:t>
      </w:r>
      <w:r w:rsidRPr="00E93722">
        <w:rPr>
          <w:rFonts w:ascii="Times New Roman" w:hAnsi="Times New Roman" w:cs="Times New Roman"/>
        </w:rPr>
        <w:tab/>
      </w:r>
      <w:r w:rsidRPr="00E93722">
        <w:rPr>
          <w:rFonts w:ascii="Times New Roman" w:hAnsi="Times New Roman" w:cs="Times New Roman"/>
        </w:rPr>
        <w:tab/>
      </w:r>
      <w:r w:rsidRPr="00E93722">
        <w:rPr>
          <w:rFonts w:ascii="Times New Roman" w:hAnsi="Times New Roman" w:cs="Times New Roman"/>
        </w:rPr>
        <w:tab/>
      </w:r>
      <w:r w:rsidRPr="00E93722">
        <w:rPr>
          <w:rFonts w:ascii="Times New Roman" w:hAnsi="Times New Roman" w:cs="Times New Roman"/>
        </w:rPr>
        <w:tab/>
        <w:t>490</w:t>
      </w:r>
    </w:p>
    <w:p w:rsidR="003321E2" w:rsidRPr="00E93722" w:rsidRDefault="003321E2" w:rsidP="00E93722">
      <w:pPr>
        <w:spacing w:after="0" w:line="240" w:lineRule="auto"/>
        <w:jc w:val="both"/>
        <w:rPr>
          <w:rFonts w:ascii="Times New Roman" w:hAnsi="Times New Roman" w:cs="Times New Roman"/>
        </w:rPr>
      </w:pPr>
      <w:r w:rsidRPr="00E93722">
        <w:rPr>
          <w:rFonts w:ascii="Times New Roman" w:hAnsi="Times New Roman" w:cs="Times New Roman"/>
        </w:rPr>
        <w:t>Akcje zwykłe ($1 nominalnie)</w:t>
      </w:r>
      <w:r w:rsidRPr="00E93722">
        <w:rPr>
          <w:rFonts w:ascii="Times New Roman" w:hAnsi="Times New Roman" w:cs="Times New Roman"/>
        </w:rPr>
        <w:tab/>
      </w:r>
      <w:r w:rsidRPr="00E93722">
        <w:rPr>
          <w:rFonts w:ascii="Times New Roman" w:hAnsi="Times New Roman" w:cs="Times New Roman"/>
        </w:rPr>
        <w:tab/>
        <w:t>80</w:t>
      </w:r>
    </w:p>
    <w:p w:rsidR="003321E2" w:rsidRPr="00E93722" w:rsidRDefault="003321E2" w:rsidP="00E93722">
      <w:pPr>
        <w:spacing w:after="0" w:line="240" w:lineRule="auto"/>
        <w:jc w:val="both"/>
        <w:rPr>
          <w:rFonts w:ascii="Times New Roman" w:hAnsi="Times New Roman" w:cs="Times New Roman"/>
        </w:rPr>
      </w:pPr>
      <w:r w:rsidRPr="00E93722">
        <w:rPr>
          <w:rFonts w:ascii="Times New Roman" w:hAnsi="Times New Roman" w:cs="Times New Roman"/>
        </w:rPr>
        <w:t>Dochody zatrzymane</w:t>
      </w:r>
      <w:r w:rsidRPr="00E93722">
        <w:rPr>
          <w:rFonts w:ascii="Times New Roman" w:hAnsi="Times New Roman" w:cs="Times New Roman"/>
        </w:rPr>
        <w:tab/>
      </w:r>
      <w:r w:rsidRPr="00E93722">
        <w:rPr>
          <w:rFonts w:ascii="Times New Roman" w:hAnsi="Times New Roman" w:cs="Times New Roman"/>
        </w:rPr>
        <w:tab/>
      </w:r>
      <w:r w:rsidRPr="00E93722">
        <w:rPr>
          <w:rFonts w:ascii="Times New Roman" w:hAnsi="Times New Roman" w:cs="Times New Roman"/>
        </w:rPr>
        <w:tab/>
        <w:t>410</w:t>
      </w:r>
    </w:p>
    <w:p w:rsidR="003321E2" w:rsidRPr="00E93722" w:rsidRDefault="003321E2" w:rsidP="00E93722">
      <w:pPr>
        <w:spacing w:after="0" w:line="240" w:lineRule="auto"/>
        <w:jc w:val="both"/>
        <w:rPr>
          <w:rFonts w:ascii="Times New Roman" w:hAnsi="Times New Roman" w:cs="Times New Roman"/>
        </w:rPr>
      </w:pPr>
    </w:p>
    <w:p w:rsidR="003321E2" w:rsidRPr="00E93722" w:rsidRDefault="003321E2" w:rsidP="00E93722">
      <w:pPr>
        <w:spacing w:after="0" w:line="240" w:lineRule="auto"/>
        <w:jc w:val="both"/>
        <w:rPr>
          <w:rFonts w:ascii="Times New Roman" w:hAnsi="Times New Roman" w:cs="Times New Roman"/>
        </w:rPr>
      </w:pPr>
      <w:r w:rsidRPr="00E93722">
        <w:rPr>
          <w:rFonts w:ascii="Times New Roman" w:hAnsi="Times New Roman" w:cs="Times New Roman"/>
        </w:rPr>
        <w:t>Zobowiązania długoterminowe</w:t>
      </w:r>
      <w:r w:rsidRPr="00E93722">
        <w:rPr>
          <w:rFonts w:ascii="Times New Roman" w:hAnsi="Times New Roman" w:cs="Times New Roman"/>
        </w:rPr>
        <w:tab/>
      </w:r>
      <w:r w:rsidRPr="00E93722">
        <w:rPr>
          <w:rFonts w:ascii="Times New Roman" w:hAnsi="Times New Roman" w:cs="Times New Roman"/>
        </w:rPr>
        <w:tab/>
        <w:t>160</w:t>
      </w:r>
    </w:p>
    <w:p w:rsidR="003321E2" w:rsidRPr="00E93722" w:rsidRDefault="003321E2" w:rsidP="00E93722">
      <w:pPr>
        <w:spacing w:after="0" w:line="240" w:lineRule="auto"/>
        <w:jc w:val="both"/>
        <w:rPr>
          <w:rFonts w:ascii="Times New Roman" w:hAnsi="Times New Roman" w:cs="Times New Roman"/>
        </w:rPr>
      </w:pPr>
      <w:r w:rsidRPr="00E93722">
        <w:rPr>
          <w:rFonts w:ascii="Times New Roman" w:hAnsi="Times New Roman" w:cs="Times New Roman"/>
        </w:rPr>
        <w:t>6% Pożyczka bankowa</w:t>
      </w:r>
      <w:r w:rsidRPr="00E93722">
        <w:rPr>
          <w:rFonts w:ascii="Times New Roman" w:hAnsi="Times New Roman" w:cs="Times New Roman"/>
        </w:rPr>
        <w:tab/>
      </w:r>
      <w:r w:rsidRPr="00E93722">
        <w:rPr>
          <w:rFonts w:ascii="Times New Roman" w:hAnsi="Times New Roman" w:cs="Times New Roman"/>
        </w:rPr>
        <w:tab/>
      </w:r>
      <w:r w:rsidRPr="00E93722">
        <w:rPr>
          <w:rFonts w:ascii="Times New Roman" w:hAnsi="Times New Roman" w:cs="Times New Roman"/>
        </w:rPr>
        <w:tab/>
        <w:t>40</w:t>
      </w:r>
    </w:p>
    <w:p w:rsidR="003321E2" w:rsidRPr="00E93722" w:rsidRDefault="003321E2" w:rsidP="00E93722">
      <w:pPr>
        <w:spacing w:after="0" w:line="240" w:lineRule="auto"/>
        <w:jc w:val="both"/>
        <w:rPr>
          <w:rFonts w:ascii="Times New Roman" w:hAnsi="Times New Roman" w:cs="Times New Roman"/>
        </w:rPr>
      </w:pPr>
      <w:r w:rsidRPr="00E93722">
        <w:rPr>
          <w:rFonts w:ascii="Times New Roman" w:hAnsi="Times New Roman" w:cs="Times New Roman"/>
        </w:rPr>
        <w:t>8% Obligacje</w:t>
      </w:r>
      <w:r w:rsidRPr="00E93722">
        <w:rPr>
          <w:rFonts w:ascii="Times New Roman" w:hAnsi="Times New Roman" w:cs="Times New Roman"/>
        </w:rPr>
        <w:tab/>
      </w:r>
      <w:r w:rsidRPr="00E93722">
        <w:rPr>
          <w:rFonts w:ascii="Times New Roman" w:hAnsi="Times New Roman" w:cs="Times New Roman"/>
        </w:rPr>
        <w:tab/>
      </w:r>
      <w:r w:rsidRPr="00E93722">
        <w:rPr>
          <w:rFonts w:ascii="Times New Roman" w:hAnsi="Times New Roman" w:cs="Times New Roman"/>
        </w:rPr>
        <w:tab/>
      </w:r>
      <w:r w:rsidRPr="00E93722">
        <w:rPr>
          <w:rFonts w:ascii="Times New Roman" w:hAnsi="Times New Roman" w:cs="Times New Roman"/>
        </w:rPr>
        <w:tab/>
        <w:t>120</w:t>
      </w:r>
    </w:p>
    <w:p w:rsidR="003321E2" w:rsidRPr="00E93722" w:rsidRDefault="003321E2" w:rsidP="00E93722">
      <w:pPr>
        <w:spacing w:after="0" w:line="240" w:lineRule="auto"/>
        <w:jc w:val="both"/>
        <w:rPr>
          <w:rFonts w:ascii="Times New Roman" w:hAnsi="Times New Roman" w:cs="Times New Roman"/>
        </w:rPr>
      </w:pPr>
      <w:r w:rsidRPr="00E93722">
        <w:rPr>
          <w:rFonts w:ascii="Times New Roman" w:hAnsi="Times New Roman" w:cs="Times New Roman"/>
        </w:rPr>
        <w:t>Zobowiązania bieżące</w:t>
      </w:r>
      <w:r w:rsidRPr="00E93722">
        <w:rPr>
          <w:rFonts w:ascii="Times New Roman" w:hAnsi="Times New Roman" w:cs="Times New Roman"/>
        </w:rPr>
        <w:tab/>
      </w:r>
      <w:r w:rsidRPr="00E93722">
        <w:rPr>
          <w:rFonts w:ascii="Times New Roman" w:hAnsi="Times New Roman" w:cs="Times New Roman"/>
        </w:rPr>
        <w:tab/>
      </w:r>
      <w:r w:rsidRPr="00E93722">
        <w:rPr>
          <w:rFonts w:ascii="Times New Roman" w:hAnsi="Times New Roman" w:cs="Times New Roman"/>
        </w:rPr>
        <w:tab/>
        <w:t>70</w:t>
      </w:r>
    </w:p>
    <w:p w:rsidR="003321E2" w:rsidRPr="00E93722" w:rsidRDefault="003321E2" w:rsidP="00E93722">
      <w:pPr>
        <w:spacing w:after="0" w:line="240" w:lineRule="auto"/>
        <w:jc w:val="both"/>
        <w:rPr>
          <w:rFonts w:ascii="Times New Roman" w:hAnsi="Times New Roman" w:cs="Times New Roman"/>
        </w:rPr>
      </w:pPr>
      <w:r w:rsidRPr="00E93722">
        <w:rPr>
          <w:rFonts w:ascii="Times New Roman" w:hAnsi="Times New Roman" w:cs="Times New Roman"/>
        </w:rPr>
        <w:t xml:space="preserve">Pasywa razem </w:t>
      </w:r>
      <w:r w:rsidRPr="00E93722">
        <w:rPr>
          <w:rFonts w:ascii="Times New Roman" w:hAnsi="Times New Roman" w:cs="Times New Roman"/>
        </w:rPr>
        <w:tab/>
      </w:r>
      <w:r w:rsidRPr="00E93722">
        <w:rPr>
          <w:rFonts w:ascii="Times New Roman" w:hAnsi="Times New Roman" w:cs="Times New Roman"/>
        </w:rPr>
        <w:tab/>
      </w:r>
      <w:r w:rsidRPr="00E93722">
        <w:rPr>
          <w:rFonts w:ascii="Times New Roman" w:hAnsi="Times New Roman" w:cs="Times New Roman"/>
        </w:rPr>
        <w:tab/>
      </w:r>
      <w:r w:rsidRPr="00E93722">
        <w:rPr>
          <w:rFonts w:ascii="Times New Roman" w:hAnsi="Times New Roman" w:cs="Times New Roman"/>
        </w:rPr>
        <w:tab/>
        <w:t>720</w:t>
      </w:r>
    </w:p>
    <w:p w:rsidR="003321E2" w:rsidRPr="00E93722" w:rsidRDefault="003321E2" w:rsidP="00E93722">
      <w:pPr>
        <w:spacing w:after="0" w:line="240" w:lineRule="auto"/>
        <w:jc w:val="both"/>
        <w:rPr>
          <w:rFonts w:ascii="Times New Roman" w:hAnsi="Times New Roman" w:cs="Times New Roman"/>
        </w:rPr>
      </w:pPr>
    </w:p>
    <w:p w:rsidR="003321E2" w:rsidRPr="00E93722" w:rsidRDefault="003321E2" w:rsidP="00E93722">
      <w:pPr>
        <w:spacing w:after="0" w:line="240" w:lineRule="auto"/>
        <w:jc w:val="both"/>
        <w:rPr>
          <w:rFonts w:ascii="Times New Roman" w:hAnsi="Times New Roman" w:cs="Times New Roman"/>
        </w:rPr>
      </w:pPr>
      <w:r w:rsidRPr="00E93722">
        <w:rPr>
          <w:rFonts w:ascii="Times New Roman" w:hAnsi="Times New Roman" w:cs="Times New Roman"/>
        </w:rPr>
        <w:t>Analitycy finansowi prognozują, że dywidendy Close Co będą rosły w przyszłości w tempie 4% rocznie. Jest to mniej od przewidywanej dynamiki zysku po opodatkowaniu spółki, która wynosi 5% rocznie. Dyrektor Finansowy Close Co uważa, że biorąc pod uwagę ryzyko związane z oczekiwanym wzrostem zysków, rentowność 11% rocznie można wykorzystać do celów wyceny.</w:t>
      </w:r>
    </w:p>
    <w:p w:rsidR="003321E2" w:rsidRPr="00E93722" w:rsidRDefault="003321E2" w:rsidP="00E93722">
      <w:pPr>
        <w:spacing w:after="0" w:line="240" w:lineRule="auto"/>
        <w:jc w:val="both"/>
        <w:rPr>
          <w:rFonts w:ascii="Times New Roman" w:hAnsi="Times New Roman" w:cs="Times New Roman"/>
        </w:rPr>
      </w:pPr>
      <w:r w:rsidRPr="00E93722">
        <w:rPr>
          <w:rFonts w:ascii="Times New Roman" w:hAnsi="Times New Roman" w:cs="Times New Roman"/>
        </w:rPr>
        <w:t>Koszt kapitału własnego Close Co wynosi 10% rocznie.</w:t>
      </w:r>
    </w:p>
    <w:p w:rsidR="003321E2" w:rsidRPr="00E93722" w:rsidRDefault="003321E2" w:rsidP="00E93722">
      <w:pPr>
        <w:spacing w:after="0" w:line="240" w:lineRule="auto"/>
        <w:jc w:val="both"/>
        <w:rPr>
          <w:rFonts w:ascii="Times New Roman" w:hAnsi="Times New Roman" w:cs="Times New Roman"/>
        </w:rPr>
      </w:pPr>
    </w:p>
    <w:p w:rsidR="003321E2" w:rsidRPr="00E93722" w:rsidRDefault="003321E2" w:rsidP="00E93722">
      <w:pPr>
        <w:spacing w:after="0" w:line="240" w:lineRule="auto"/>
        <w:jc w:val="both"/>
        <w:rPr>
          <w:rFonts w:ascii="Times New Roman" w:hAnsi="Times New Roman" w:cs="Times New Roman"/>
        </w:rPr>
      </w:pPr>
      <w:r w:rsidRPr="00E93722">
        <w:rPr>
          <w:rFonts w:ascii="Times New Roman" w:hAnsi="Times New Roman" w:cs="Times New Roman"/>
        </w:rPr>
        <w:t>Zad.16. Obliczyć wartość Close Co za pomocą metody wartości aktywów netto.</w:t>
      </w:r>
    </w:p>
    <w:p w:rsidR="003321E2" w:rsidRPr="00E93722" w:rsidRDefault="003321E2" w:rsidP="00E93722">
      <w:pPr>
        <w:spacing w:after="0" w:line="240" w:lineRule="auto"/>
        <w:jc w:val="both"/>
        <w:rPr>
          <w:rFonts w:ascii="Times New Roman" w:hAnsi="Times New Roman" w:cs="Times New Roman"/>
        </w:rPr>
      </w:pPr>
      <w:r w:rsidRPr="00E93722">
        <w:rPr>
          <w:rFonts w:ascii="Times New Roman" w:hAnsi="Times New Roman" w:cs="Times New Roman"/>
        </w:rPr>
        <w:t>aktywa netto = aktywa – zobowiązania</w:t>
      </w:r>
    </w:p>
    <w:p w:rsidR="003321E2" w:rsidRPr="00E93722" w:rsidRDefault="003321E2" w:rsidP="00E93722">
      <w:pPr>
        <w:spacing w:after="0" w:line="240" w:lineRule="auto"/>
        <w:jc w:val="both"/>
        <w:rPr>
          <w:rFonts w:ascii="Times New Roman" w:hAnsi="Times New Roman" w:cs="Times New Roman"/>
        </w:rPr>
      </w:pPr>
      <w:r w:rsidRPr="00E93722">
        <w:rPr>
          <w:rFonts w:ascii="Times New Roman" w:hAnsi="Times New Roman" w:cs="Times New Roman"/>
        </w:rPr>
        <w:t>aktywa netto = 720 - 70 - 160 = 490 milionów dolarów</w:t>
      </w:r>
    </w:p>
    <w:p w:rsidR="003321E2" w:rsidRPr="00E93722" w:rsidRDefault="003321E2" w:rsidP="00E93722">
      <w:pPr>
        <w:spacing w:after="0" w:line="240" w:lineRule="auto"/>
        <w:jc w:val="both"/>
        <w:rPr>
          <w:rFonts w:ascii="Times New Roman" w:hAnsi="Times New Roman" w:cs="Times New Roman"/>
        </w:rPr>
      </w:pPr>
    </w:p>
    <w:p w:rsidR="003321E2" w:rsidRPr="00E93722" w:rsidRDefault="003321E2" w:rsidP="00E93722">
      <w:pPr>
        <w:spacing w:after="0" w:line="240" w:lineRule="auto"/>
        <w:jc w:val="both"/>
        <w:rPr>
          <w:rFonts w:ascii="Times New Roman" w:hAnsi="Times New Roman" w:cs="Times New Roman"/>
        </w:rPr>
      </w:pPr>
      <w:r w:rsidRPr="00E93722">
        <w:rPr>
          <w:rFonts w:ascii="Times New Roman" w:hAnsi="Times New Roman" w:cs="Times New Roman"/>
        </w:rPr>
        <w:t>Zad.17. Obliczyć wartość Close Co przy użyciu modelu wzrostu dywidendy (DGM).</w:t>
      </w:r>
    </w:p>
    <w:p w:rsidR="003321E2" w:rsidRPr="00E93722" w:rsidRDefault="003321E2" w:rsidP="00E93722">
      <w:pPr>
        <w:spacing w:after="0" w:line="240" w:lineRule="auto"/>
        <w:jc w:val="both"/>
        <w:rPr>
          <w:rFonts w:ascii="Times New Roman" w:hAnsi="Times New Roman" w:cs="Times New Roman"/>
        </w:rPr>
      </w:pPr>
      <w:r w:rsidRPr="00E93722">
        <w:rPr>
          <w:rFonts w:ascii="Times New Roman" w:hAnsi="Times New Roman" w:cs="Times New Roman"/>
        </w:rPr>
        <w:t>Dywidendy mają wzrosnąć o 4% rocznie, a koszt kapitału własnego wynosi 10%.</w:t>
      </w:r>
    </w:p>
    <w:p w:rsidR="003321E2" w:rsidRPr="00E93722" w:rsidRDefault="003321E2" w:rsidP="00E93722">
      <w:pPr>
        <w:spacing w:after="0" w:line="240" w:lineRule="auto"/>
        <w:jc w:val="both"/>
        <w:rPr>
          <w:rFonts w:ascii="Times New Roman" w:hAnsi="Times New Roman" w:cs="Times New Roman"/>
        </w:rPr>
      </w:pPr>
      <w:r w:rsidRPr="00E93722">
        <w:rPr>
          <w:rFonts w:ascii="Times New Roman" w:hAnsi="Times New Roman" w:cs="Times New Roman"/>
        </w:rPr>
        <w:t>P_0=  (D_0 (1+g))/((r_e-g))</w:t>
      </w:r>
    </w:p>
    <w:p w:rsidR="003321E2" w:rsidRPr="00E93722" w:rsidRDefault="003321E2" w:rsidP="00E93722">
      <w:pPr>
        <w:spacing w:after="0" w:line="240" w:lineRule="auto"/>
        <w:jc w:val="both"/>
        <w:rPr>
          <w:rFonts w:ascii="Times New Roman" w:hAnsi="Times New Roman" w:cs="Times New Roman"/>
        </w:rPr>
      </w:pPr>
      <w:r w:rsidRPr="00E93722">
        <w:rPr>
          <w:rFonts w:ascii="Times New Roman" w:hAnsi="Times New Roman" w:cs="Times New Roman"/>
        </w:rPr>
        <w:t>P_0=  40x1,04/(0,10-0,04)=693,33=693 mln $</w:t>
      </w:r>
    </w:p>
    <w:p w:rsidR="003321E2" w:rsidRPr="00E93722" w:rsidRDefault="003321E2" w:rsidP="00E93722">
      <w:pPr>
        <w:spacing w:after="0" w:line="240" w:lineRule="auto"/>
        <w:jc w:val="both"/>
        <w:rPr>
          <w:rFonts w:ascii="Times New Roman" w:hAnsi="Times New Roman" w:cs="Times New Roman"/>
        </w:rPr>
      </w:pPr>
    </w:p>
    <w:p w:rsidR="003321E2" w:rsidRPr="00E93722" w:rsidRDefault="003321E2" w:rsidP="00E93722">
      <w:pPr>
        <w:spacing w:after="0" w:line="240" w:lineRule="auto"/>
        <w:jc w:val="both"/>
        <w:rPr>
          <w:rFonts w:ascii="Times New Roman" w:hAnsi="Times New Roman" w:cs="Times New Roman"/>
        </w:rPr>
      </w:pPr>
      <w:r w:rsidRPr="00E93722">
        <w:rPr>
          <w:rFonts w:ascii="Times New Roman" w:hAnsi="Times New Roman" w:cs="Times New Roman"/>
        </w:rPr>
        <w:t xml:space="preserve">Zad.18. Obliczyć wartość Close Co przy użyciu metody rentowności akcji </w:t>
      </w:r>
    </w:p>
    <w:p w:rsidR="003321E2" w:rsidRPr="00E93722" w:rsidRDefault="003321E2" w:rsidP="00E93722">
      <w:pPr>
        <w:spacing w:after="0" w:line="240" w:lineRule="auto"/>
        <w:jc w:val="both"/>
        <w:rPr>
          <w:rFonts w:ascii="Times New Roman" w:hAnsi="Times New Roman" w:cs="Times New Roman"/>
        </w:rPr>
      </w:pPr>
      <w:r w:rsidRPr="00E93722">
        <w:rPr>
          <w:rFonts w:ascii="Times New Roman" w:hAnsi="Times New Roman" w:cs="Times New Roman"/>
        </w:rPr>
        <w:t>(w milionach do 1 miejsca po przecinku).</w:t>
      </w:r>
    </w:p>
    <w:p w:rsidR="003321E2" w:rsidRPr="00E93722" w:rsidRDefault="003321E2" w:rsidP="00E93722">
      <w:pPr>
        <w:spacing w:after="0" w:line="240" w:lineRule="auto"/>
        <w:jc w:val="both"/>
        <w:rPr>
          <w:rFonts w:ascii="Times New Roman" w:hAnsi="Times New Roman" w:cs="Times New Roman"/>
        </w:rPr>
      </w:pPr>
      <w:r w:rsidRPr="00E93722">
        <w:rPr>
          <w:rFonts w:ascii="Times New Roman" w:hAnsi="Times New Roman" w:cs="Times New Roman"/>
        </w:rPr>
        <w:t xml:space="preserve">Zarobki, czyli zysk po opodatkowaniu wynoszą 66,6 mln$. Rentowność akcji, która może być wykorzystana do wyceny wynosi 11%. </w:t>
      </w:r>
    </w:p>
    <w:p w:rsidR="003321E2" w:rsidRPr="00E93722" w:rsidRDefault="003321E2" w:rsidP="00E93722">
      <w:pPr>
        <w:spacing w:after="0" w:line="240" w:lineRule="auto"/>
        <w:jc w:val="both"/>
        <w:rPr>
          <w:rFonts w:ascii="Times New Roman" w:hAnsi="Times New Roman" w:cs="Times New Roman"/>
        </w:rPr>
      </w:pPr>
      <w:r w:rsidRPr="00E93722">
        <w:rPr>
          <w:rFonts w:ascii="Times New Roman" w:hAnsi="Times New Roman" w:cs="Times New Roman"/>
        </w:rPr>
        <w:t>66,6/0,11 = 605,5 mln $</w:t>
      </w:r>
    </w:p>
    <w:p w:rsidR="003321E2" w:rsidRPr="00E93722" w:rsidRDefault="003321E2" w:rsidP="00E93722">
      <w:pPr>
        <w:spacing w:after="0" w:line="240" w:lineRule="auto"/>
        <w:jc w:val="both"/>
        <w:rPr>
          <w:rFonts w:ascii="Times New Roman" w:hAnsi="Times New Roman" w:cs="Times New Roman"/>
        </w:rPr>
      </w:pPr>
    </w:p>
    <w:p w:rsidR="003321E2" w:rsidRPr="00E93722" w:rsidRDefault="003321E2" w:rsidP="00E93722">
      <w:pPr>
        <w:spacing w:after="0" w:line="240" w:lineRule="auto"/>
        <w:jc w:val="both"/>
        <w:rPr>
          <w:rFonts w:ascii="Times New Roman" w:hAnsi="Times New Roman" w:cs="Times New Roman"/>
        </w:rPr>
      </w:pPr>
      <w:r w:rsidRPr="00E93722">
        <w:rPr>
          <w:rFonts w:ascii="Times New Roman" w:hAnsi="Times New Roman" w:cs="Times New Roman"/>
        </w:rPr>
        <w:t>Zad.19. DGM został wykorzystany przez analityków finansowych do wyceny Close Co. Czy poniższe stwierdzenia dotyczące modelu wzrostu dywidendy (DGM) są prawdziwe czy fałszywe?</w:t>
      </w:r>
    </w:p>
    <w:p w:rsidR="003321E2" w:rsidRPr="00E93722" w:rsidRDefault="003321E2" w:rsidP="00E93722">
      <w:pPr>
        <w:spacing w:after="0" w:line="240" w:lineRule="auto"/>
        <w:jc w:val="both"/>
        <w:rPr>
          <w:rFonts w:ascii="Times New Roman" w:hAnsi="Times New Roman" w:cs="Times New Roman"/>
        </w:rPr>
      </w:pPr>
      <w:r w:rsidRPr="00E93722">
        <w:rPr>
          <w:rFonts w:ascii="Times New Roman" w:hAnsi="Times New Roman" w:cs="Times New Roman"/>
        </w:rPr>
        <w:tab/>
        <w:t xml:space="preserve">Jest bardzo wrażliwy na zmiany tempa wzrostu </w:t>
      </w:r>
    </w:p>
    <w:p w:rsidR="003321E2" w:rsidRPr="00E93722" w:rsidRDefault="003321E2" w:rsidP="00E93722">
      <w:pPr>
        <w:spacing w:after="0" w:line="240" w:lineRule="auto"/>
        <w:jc w:val="both"/>
        <w:rPr>
          <w:rFonts w:ascii="Times New Roman" w:hAnsi="Times New Roman" w:cs="Times New Roman"/>
        </w:rPr>
      </w:pPr>
      <w:r w:rsidRPr="00E93722">
        <w:rPr>
          <w:rFonts w:ascii="Times New Roman" w:hAnsi="Times New Roman" w:cs="Times New Roman"/>
        </w:rPr>
        <w:tab/>
        <w:t>Może być stosowany tylko wtedy, gdy dywidendy zostały wypłacone lub oczekuje się ich zapłaty</w:t>
      </w:r>
    </w:p>
    <w:p w:rsidR="003321E2" w:rsidRPr="00E93722" w:rsidRDefault="003321E2" w:rsidP="00E93722">
      <w:pPr>
        <w:spacing w:after="0" w:line="240" w:lineRule="auto"/>
        <w:jc w:val="both"/>
        <w:rPr>
          <w:rFonts w:ascii="Times New Roman" w:hAnsi="Times New Roman" w:cs="Times New Roman"/>
        </w:rPr>
      </w:pPr>
      <w:r w:rsidRPr="00E93722">
        <w:rPr>
          <w:rFonts w:ascii="Times New Roman" w:hAnsi="Times New Roman" w:cs="Times New Roman"/>
        </w:rPr>
        <w:t xml:space="preserve">Oba stwierdzenia są prawdziwe. </w:t>
      </w:r>
    </w:p>
    <w:p w:rsidR="003321E2" w:rsidRPr="00E93722" w:rsidRDefault="003321E2" w:rsidP="00E93722">
      <w:pPr>
        <w:spacing w:after="0" w:line="240" w:lineRule="auto"/>
        <w:jc w:val="both"/>
        <w:rPr>
          <w:rFonts w:ascii="Times New Roman" w:hAnsi="Times New Roman" w:cs="Times New Roman"/>
        </w:rPr>
      </w:pPr>
      <w:r w:rsidRPr="00E93722">
        <w:rPr>
          <w:rFonts w:ascii="Times New Roman" w:hAnsi="Times New Roman" w:cs="Times New Roman"/>
        </w:rPr>
        <w:t>DGM jest bardzo wrażliwy na zmiany tempa wzrostu. Zmiana stopy wzrostu o 1% może przynieść znaczącą różnicę w wycenie.</w:t>
      </w:r>
    </w:p>
    <w:p w:rsidR="003321E2" w:rsidRPr="00E93722" w:rsidRDefault="003321E2" w:rsidP="00E93722">
      <w:pPr>
        <w:spacing w:after="0" w:line="240" w:lineRule="auto"/>
        <w:jc w:val="both"/>
        <w:rPr>
          <w:rFonts w:ascii="Times New Roman" w:hAnsi="Times New Roman" w:cs="Times New Roman"/>
        </w:rPr>
      </w:pPr>
      <w:r w:rsidRPr="00E93722">
        <w:rPr>
          <w:rFonts w:ascii="Times New Roman" w:hAnsi="Times New Roman" w:cs="Times New Roman"/>
        </w:rPr>
        <w:t xml:space="preserve">Jeśli dywidendy mają być wypłacone w pewnym momencie w przyszłości, DGM może być zastosowany w tym momencie, aby stworzyć wartość dla akcji, które można następnie zdyskontować, aby uzyskać bieżący zysk dywidendowy. </w:t>
      </w:r>
    </w:p>
    <w:p w:rsidR="003321E2" w:rsidRPr="00E93722" w:rsidRDefault="003321E2" w:rsidP="00E93722">
      <w:pPr>
        <w:spacing w:after="0" w:line="240" w:lineRule="auto"/>
        <w:jc w:val="both"/>
        <w:rPr>
          <w:rFonts w:ascii="Times New Roman" w:hAnsi="Times New Roman" w:cs="Times New Roman"/>
        </w:rPr>
      </w:pPr>
      <w:r w:rsidRPr="00E93722">
        <w:rPr>
          <w:rFonts w:ascii="Times New Roman" w:hAnsi="Times New Roman" w:cs="Times New Roman"/>
        </w:rPr>
        <w:t>W sytuacji, w której dywidendy nie są wypłacane i nie oczekuje się ich zapłaty, DGM nie ma zastosowania.</w:t>
      </w:r>
    </w:p>
    <w:p w:rsidR="003321E2" w:rsidRPr="00E93722" w:rsidRDefault="003321E2" w:rsidP="00E93722">
      <w:pPr>
        <w:spacing w:after="0" w:line="240" w:lineRule="auto"/>
        <w:jc w:val="both"/>
        <w:rPr>
          <w:rFonts w:ascii="Times New Roman" w:hAnsi="Times New Roman" w:cs="Times New Roman"/>
        </w:rPr>
      </w:pPr>
    </w:p>
    <w:p w:rsidR="009207A6" w:rsidRPr="00E93722" w:rsidRDefault="009207A6" w:rsidP="00E93722">
      <w:pPr>
        <w:spacing w:after="0" w:line="240" w:lineRule="auto"/>
        <w:jc w:val="both"/>
        <w:rPr>
          <w:rFonts w:ascii="Times New Roman" w:hAnsi="Times New Roman" w:cs="Times New Roman"/>
        </w:rPr>
      </w:pPr>
    </w:p>
    <w:p w:rsidR="009207A6" w:rsidRPr="00E93722" w:rsidRDefault="009207A6" w:rsidP="00E93722">
      <w:pPr>
        <w:spacing w:after="0" w:line="240" w:lineRule="auto"/>
        <w:jc w:val="both"/>
        <w:rPr>
          <w:rFonts w:ascii="Times New Roman" w:hAnsi="Times New Roman" w:cs="Times New Roman"/>
        </w:rPr>
      </w:pPr>
    </w:p>
    <w:p w:rsidR="003321E2" w:rsidRPr="00E93722" w:rsidRDefault="003321E2" w:rsidP="00E93722">
      <w:pPr>
        <w:spacing w:after="0" w:line="240" w:lineRule="auto"/>
        <w:jc w:val="both"/>
        <w:rPr>
          <w:rFonts w:ascii="Times New Roman" w:hAnsi="Times New Roman" w:cs="Times New Roman"/>
        </w:rPr>
      </w:pPr>
      <w:r w:rsidRPr="00E93722">
        <w:rPr>
          <w:rFonts w:ascii="Times New Roman" w:hAnsi="Times New Roman" w:cs="Times New Roman"/>
        </w:rPr>
        <w:lastRenderedPageBreak/>
        <w:t>Zad.20. Close Co rozważa zwiększenie finansowania poprzez zamienne obligacje. Jaka jest aktualna wartość rynkowa obligacji zamiennych, w przypadku których konwersja jest oczekiwana?</w:t>
      </w:r>
    </w:p>
    <w:p w:rsidR="003321E2" w:rsidRPr="00E93722" w:rsidRDefault="003321E2" w:rsidP="00E93722">
      <w:pPr>
        <w:spacing w:after="0" w:line="240" w:lineRule="auto"/>
        <w:jc w:val="both"/>
        <w:rPr>
          <w:rFonts w:ascii="Times New Roman" w:hAnsi="Times New Roman" w:cs="Times New Roman"/>
        </w:rPr>
      </w:pPr>
      <w:r w:rsidRPr="00E93722">
        <w:rPr>
          <w:rFonts w:ascii="Times New Roman" w:hAnsi="Times New Roman" w:cs="Times New Roman"/>
        </w:rPr>
        <w:tab/>
        <w:t>Suma obecnych wartości przyszłych wypłat odsetek + bieżąca wartość konwersji obligacji</w:t>
      </w:r>
    </w:p>
    <w:p w:rsidR="003321E2" w:rsidRPr="00E93722" w:rsidRDefault="003321E2" w:rsidP="00E93722">
      <w:pPr>
        <w:spacing w:after="0" w:line="240" w:lineRule="auto"/>
        <w:jc w:val="both"/>
        <w:rPr>
          <w:rFonts w:ascii="Times New Roman" w:hAnsi="Times New Roman" w:cs="Times New Roman"/>
        </w:rPr>
      </w:pPr>
      <w:r w:rsidRPr="00E93722">
        <w:rPr>
          <w:rFonts w:ascii="Times New Roman" w:hAnsi="Times New Roman" w:cs="Times New Roman"/>
        </w:rPr>
        <w:tab/>
        <w:t>Suma obecnych wartości przyszłych płatności odsetkowych - wartość bieżąca wartości konwersji obligacji.</w:t>
      </w:r>
    </w:p>
    <w:p w:rsidR="003321E2" w:rsidRPr="00E93722" w:rsidRDefault="003321E2" w:rsidP="00E93722">
      <w:pPr>
        <w:spacing w:after="0" w:line="240" w:lineRule="auto"/>
        <w:jc w:val="both"/>
        <w:rPr>
          <w:rFonts w:ascii="Times New Roman" w:hAnsi="Times New Roman" w:cs="Times New Roman"/>
        </w:rPr>
      </w:pPr>
      <w:r w:rsidRPr="00E93722">
        <w:rPr>
          <w:rFonts w:ascii="Times New Roman" w:hAnsi="Times New Roman" w:cs="Times New Roman"/>
        </w:rPr>
        <w:tab/>
        <w:t>Wyższa z sum obecnych wartości przyszłych płatności odsetkowych i bieżącej wartości konwersji obligacji.</w:t>
      </w:r>
    </w:p>
    <w:p w:rsidR="003321E2" w:rsidRPr="00E93722" w:rsidRDefault="003321E2" w:rsidP="00E93722">
      <w:pPr>
        <w:spacing w:after="0" w:line="240" w:lineRule="auto"/>
        <w:jc w:val="both"/>
        <w:rPr>
          <w:rFonts w:ascii="Times New Roman" w:hAnsi="Times New Roman" w:cs="Times New Roman"/>
        </w:rPr>
      </w:pPr>
      <w:r w:rsidRPr="00E93722">
        <w:rPr>
          <w:rFonts w:ascii="Times New Roman" w:hAnsi="Times New Roman" w:cs="Times New Roman"/>
        </w:rPr>
        <w:tab/>
        <w:t>Niższa z sum obecnych wartości przyszłych płatności odsetkowych i bieżącej wartości konwersji obligacji.</w:t>
      </w:r>
    </w:p>
    <w:p w:rsidR="003321E2" w:rsidRPr="00E93722" w:rsidRDefault="003321E2" w:rsidP="00E93722">
      <w:pPr>
        <w:spacing w:after="0" w:line="240" w:lineRule="auto"/>
        <w:jc w:val="both"/>
        <w:rPr>
          <w:rFonts w:ascii="Times New Roman" w:hAnsi="Times New Roman" w:cs="Times New Roman"/>
        </w:rPr>
      </w:pPr>
      <w:r w:rsidRPr="00E93722">
        <w:rPr>
          <w:rFonts w:ascii="Times New Roman" w:hAnsi="Times New Roman" w:cs="Times New Roman"/>
        </w:rPr>
        <w:t>Odpowiedź A</w:t>
      </w:r>
    </w:p>
    <w:p w:rsidR="00566DD8" w:rsidRPr="00E93722" w:rsidRDefault="00566DD8" w:rsidP="00E93722">
      <w:pPr>
        <w:spacing w:after="0" w:line="240" w:lineRule="auto"/>
        <w:jc w:val="both"/>
        <w:rPr>
          <w:rFonts w:ascii="Times New Roman" w:hAnsi="Times New Roman" w:cs="Times New Roman"/>
        </w:rPr>
      </w:pPr>
    </w:p>
    <w:p w:rsidR="00566DD8" w:rsidRPr="00E93722" w:rsidRDefault="00566DD8" w:rsidP="00E93722">
      <w:pPr>
        <w:spacing w:after="0" w:line="240" w:lineRule="auto"/>
        <w:jc w:val="both"/>
        <w:rPr>
          <w:rFonts w:ascii="Times New Roman" w:hAnsi="Times New Roman" w:cs="Times New Roman"/>
        </w:rPr>
      </w:pPr>
      <w:r w:rsidRPr="00E93722">
        <w:rPr>
          <w:rFonts w:ascii="Times New Roman" w:hAnsi="Times New Roman" w:cs="Times New Roman"/>
        </w:rPr>
        <w:t xml:space="preserve">Zad.21. </w:t>
      </w:r>
      <w:r w:rsidRPr="00E93722">
        <w:rPr>
          <w:rFonts w:ascii="Times New Roman" w:hAnsi="Times New Roman" w:cs="Times New Roman"/>
          <w:color w:val="000000"/>
        </w:rPr>
        <w:t>Spółka akcyjna emituje nieodkupne papiery wartościowe by sfinansować projekt o ryzyku równym aktualnie realizowanym projektom. W sytuacji, gdy spółka działa w świecie bez podatków, w warunkach doskonałego rynku kapitałowego, oceń czy poniższe stwierdzenia są poprawne.</w:t>
      </w:r>
    </w:p>
    <w:p w:rsidR="00566DD8" w:rsidRPr="00E93722" w:rsidRDefault="00566DD8" w:rsidP="00E93722">
      <w:pPr>
        <w:pStyle w:val="NormalWeb"/>
        <w:spacing w:before="0" w:beforeAutospacing="0" w:after="0" w:afterAutospacing="0"/>
        <w:ind w:left="283" w:hanging="283"/>
        <w:jc w:val="both"/>
        <w:rPr>
          <w:sz w:val="22"/>
          <w:szCs w:val="22"/>
        </w:rPr>
      </w:pPr>
      <w:r w:rsidRPr="00E93722">
        <w:rPr>
          <w:color w:val="000000"/>
          <w:sz w:val="22"/>
          <w:szCs w:val="22"/>
        </w:rPr>
        <w:t>Stwierdzenie 1: Koszt kapitału własnego spadnie.</w:t>
      </w:r>
    </w:p>
    <w:p w:rsidR="00566DD8" w:rsidRPr="00E93722" w:rsidRDefault="00566DD8" w:rsidP="00E93722">
      <w:pPr>
        <w:pStyle w:val="NormalWeb"/>
        <w:spacing w:before="0" w:beforeAutospacing="0" w:after="0" w:afterAutospacing="0"/>
        <w:ind w:left="283" w:hanging="283"/>
        <w:jc w:val="both"/>
        <w:rPr>
          <w:sz w:val="22"/>
          <w:szCs w:val="22"/>
        </w:rPr>
      </w:pPr>
      <w:r w:rsidRPr="00E93722">
        <w:rPr>
          <w:color w:val="000000"/>
          <w:sz w:val="22"/>
          <w:szCs w:val="22"/>
        </w:rPr>
        <w:t>Stwierdzenie 2: Średnioważony koszt kapitału wzrośnie.</w:t>
      </w:r>
    </w:p>
    <w:tbl>
      <w:tblPr>
        <w:tblW w:w="0" w:type="auto"/>
        <w:tblCellMar>
          <w:top w:w="15" w:type="dxa"/>
          <w:left w:w="15" w:type="dxa"/>
          <w:bottom w:w="15" w:type="dxa"/>
          <w:right w:w="15" w:type="dxa"/>
        </w:tblCellMar>
        <w:tblLook w:val="04A0" w:firstRow="1" w:lastRow="0" w:firstColumn="1" w:lastColumn="0" w:noHBand="0" w:noVBand="1"/>
      </w:tblPr>
      <w:tblGrid>
        <w:gridCol w:w="375"/>
        <w:gridCol w:w="1530"/>
        <w:gridCol w:w="1530"/>
      </w:tblGrid>
      <w:tr w:rsidR="00566DD8" w:rsidRPr="00E93722" w:rsidTr="00566DD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66DD8" w:rsidRPr="00E93722" w:rsidRDefault="00566DD8" w:rsidP="00E93722">
            <w:pPr>
              <w:spacing w:after="0" w:line="240" w:lineRule="auto"/>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66DD8" w:rsidRPr="00E93722" w:rsidRDefault="00566DD8" w:rsidP="00E93722">
            <w:pPr>
              <w:pStyle w:val="NormalWeb"/>
              <w:spacing w:before="0" w:beforeAutospacing="0" w:after="0" w:afterAutospacing="0"/>
              <w:jc w:val="center"/>
              <w:rPr>
                <w:sz w:val="22"/>
                <w:szCs w:val="22"/>
              </w:rPr>
            </w:pPr>
            <w:r w:rsidRPr="00E93722">
              <w:rPr>
                <w:color w:val="000000"/>
                <w:sz w:val="22"/>
                <w:szCs w:val="22"/>
              </w:rPr>
              <w:t>Stwierdzenie 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66DD8" w:rsidRPr="00E93722" w:rsidRDefault="00566DD8" w:rsidP="00E93722">
            <w:pPr>
              <w:pStyle w:val="NormalWeb"/>
              <w:spacing w:before="0" w:beforeAutospacing="0" w:after="0" w:afterAutospacing="0"/>
              <w:jc w:val="center"/>
              <w:rPr>
                <w:sz w:val="22"/>
                <w:szCs w:val="22"/>
              </w:rPr>
            </w:pPr>
            <w:r w:rsidRPr="00E93722">
              <w:rPr>
                <w:color w:val="000000"/>
                <w:sz w:val="22"/>
                <w:szCs w:val="22"/>
              </w:rPr>
              <w:t>Stwierdzenie 2</w:t>
            </w:r>
          </w:p>
        </w:tc>
      </w:tr>
      <w:tr w:rsidR="00566DD8" w:rsidRPr="00E93722" w:rsidTr="00566DD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66DD8" w:rsidRPr="00E93722" w:rsidRDefault="00566DD8" w:rsidP="00E93722">
            <w:pPr>
              <w:pStyle w:val="NormalWeb"/>
              <w:spacing w:before="0" w:beforeAutospacing="0" w:after="0" w:afterAutospacing="0"/>
              <w:jc w:val="both"/>
              <w:rPr>
                <w:sz w:val="22"/>
                <w:szCs w:val="22"/>
              </w:rPr>
            </w:pPr>
            <w:r w:rsidRPr="00E93722">
              <w:rPr>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66DD8" w:rsidRPr="00E93722" w:rsidRDefault="00566DD8" w:rsidP="00E93722">
            <w:pPr>
              <w:pStyle w:val="NormalWeb"/>
              <w:spacing w:before="0" w:beforeAutospacing="0" w:after="0" w:afterAutospacing="0"/>
              <w:jc w:val="center"/>
              <w:rPr>
                <w:sz w:val="22"/>
                <w:szCs w:val="22"/>
              </w:rPr>
            </w:pPr>
            <w:r w:rsidRPr="00E93722">
              <w:rPr>
                <w:color w:val="000000"/>
                <w:sz w:val="22"/>
                <w:szCs w:val="22"/>
              </w:rPr>
              <w:t>Prawda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66DD8" w:rsidRPr="00E93722" w:rsidRDefault="00566DD8" w:rsidP="00E93722">
            <w:pPr>
              <w:pStyle w:val="NormalWeb"/>
              <w:spacing w:before="0" w:beforeAutospacing="0" w:after="0" w:afterAutospacing="0"/>
              <w:jc w:val="center"/>
              <w:rPr>
                <w:sz w:val="22"/>
                <w:szCs w:val="22"/>
              </w:rPr>
            </w:pPr>
            <w:r w:rsidRPr="00E93722">
              <w:rPr>
                <w:color w:val="000000"/>
                <w:sz w:val="22"/>
                <w:szCs w:val="22"/>
              </w:rPr>
              <w:t>Prawda</w:t>
            </w:r>
          </w:p>
        </w:tc>
      </w:tr>
      <w:tr w:rsidR="00566DD8" w:rsidRPr="00E93722" w:rsidTr="00566DD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66DD8" w:rsidRPr="00E93722" w:rsidRDefault="00566DD8" w:rsidP="00E93722">
            <w:pPr>
              <w:pStyle w:val="NormalWeb"/>
              <w:spacing w:before="0" w:beforeAutospacing="0" w:after="0" w:afterAutospacing="0"/>
              <w:jc w:val="both"/>
              <w:rPr>
                <w:sz w:val="22"/>
                <w:szCs w:val="22"/>
              </w:rPr>
            </w:pPr>
            <w:r w:rsidRPr="00E93722">
              <w:rPr>
                <w:color w:val="000000"/>
                <w:sz w:val="22"/>
                <w:szCs w:val="22"/>
              </w:rPr>
              <w:t>B</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66DD8" w:rsidRPr="00E93722" w:rsidRDefault="00566DD8" w:rsidP="00E93722">
            <w:pPr>
              <w:pStyle w:val="NormalWeb"/>
              <w:spacing w:before="0" w:beforeAutospacing="0" w:after="0" w:afterAutospacing="0"/>
              <w:jc w:val="center"/>
              <w:rPr>
                <w:sz w:val="22"/>
                <w:szCs w:val="22"/>
              </w:rPr>
            </w:pPr>
            <w:r w:rsidRPr="00E93722">
              <w:rPr>
                <w:color w:val="000000"/>
                <w:sz w:val="22"/>
                <w:szCs w:val="22"/>
              </w:rPr>
              <w:t>Fałsz</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66DD8" w:rsidRPr="00E93722" w:rsidRDefault="00566DD8" w:rsidP="00E93722">
            <w:pPr>
              <w:pStyle w:val="NormalWeb"/>
              <w:spacing w:before="0" w:beforeAutospacing="0" w:after="0" w:afterAutospacing="0"/>
              <w:jc w:val="center"/>
              <w:rPr>
                <w:sz w:val="22"/>
                <w:szCs w:val="22"/>
              </w:rPr>
            </w:pPr>
            <w:r w:rsidRPr="00E93722">
              <w:rPr>
                <w:color w:val="000000"/>
                <w:sz w:val="22"/>
                <w:szCs w:val="22"/>
              </w:rPr>
              <w:t>Prawda</w:t>
            </w:r>
          </w:p>
        </w:tc>
      </w:tr>
      <w:tr w:rsidR="00566DD8" w:rsidRPr="00E93722" w:rsidTr="00566DD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66DD8" w:rsidRPr="00E93722" w:rsidRDefault="00566DD8" w:rsidP="00E93722">
            <w:pPr>
              <w:pStyle w:val="NormalWeb"/>
              <w:spacing w:before="0" w:beforeAutospacing="0" w:after="0" w:afterAutospacing="0"/>
              <w:jc w:val="both"/>
              <w:rPr>
                <w:sz w:val="22"/>
                <w:szCs w:val="22"/>
              </w:rPr>
            </w:pPr>
            <w:r w:rsidRPr="00E93722">
              <w:rPr>
                <w:color w:val="000000"/>
                <w:sz w:val="22"/>
                <w:szCs w:val="22"/>
              </w:rPr>
              <w:t>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66DD8" w:rsidRPr="00E93722" w:rsidRDefault="00566DD8" w:rsidP="00E93722">
            <w:pPr>
              <w:pStyle w:val="NormalWeb"/>
              <w:spacing w:before="0" w:beforeAutospacing="0" w:after="0" w:afterAutospacing="0"/>
              <w:jc w:val="center"/>
              <w:rPr>
                <w:sz w:val="22"/>
                <w:szCs w:val="22"/>
              </w:rPr>
            </w:pPr>
            <w:r w:rsidRPr="00E93722">
              <w:rPr>
                <w:color w:val="000000"/>
                <w:sz w:val="22"/>
                <w:szCs w:val="22"/>
              </w:rPr>
              <w:t>Prawda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66DD8" w:rsidRPr="00E93722" w:rsidRDefault="00566DD8" w:rsidP="00E93722">
            <w:pPr>
              <w:pStyle w:val="NormalWeb"/>
              <w:spacing w:before="0" w:beforeAutospacing="0" w:after="0" w:afterAutospacing="0"/>
              <w:jc w:val="center"/>
              <w:rPr>
                <w:sz w:val="22"/>
                <w:szCs w:val="22"/>
              </w:rPr>
            </w:pPr>
            <w:r w:rsidRPr="00E93722">
              <w:rPr>
                <w:color w:val="000000"/>
                <w:sz w:val="22"/>
                <w:szCs w:val="22"/>
              </w:rPr>
              <w:t>Fałsz</w:t>
            </w:r>
          </w:p>
        </w:tc>
      </w:tr>
      <w:tr w:rsidR="00566DD8" w:rsidRPr="00E93722" w:rsidTr="00566DD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66DD8" w:rsidRPr="00E93722" w:rsidRDefault="00566DD8" w:rsidP="00E93722">
            <w:pPr>
              <w:pStyle w:val="NormalWeb"/>
              <w:spacing w:before="0" w:beforeAutospacing="0" w:after="0" w:afterAutospacing="0"/>
              <w:jc w:val="both"/>
              <w:rPr>
                <w:sz w:val="22"/>
                <w:szCs w:val="22"/>
              </w:rPr>
            </w:pPr>
            <w:r w:rsidRPr="00E93722">
              <w:rPr>
                <w:color w:val="000000"/>
                <w:sz w:val="22"/>
                <w:szCs w:val="22"/>
              </w:rPr>
              <w:t>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66DD8" w:rsidRPr="00E93722" w:rsidRDefault="00566DD8" w:rsidP="00E93722">
            <w:pPr>
              <w:pStyle w:val="NormalWeb"/>
              <w:spacing w:before="0" w:beforeAutospacing="0" w:after="0" w:afterAutospacing="0"/>
              <w:jc w:val="center"/>
              <w:rPr>
                <w:sz w:val="22"/>
                <w:szCs w:val="22"/>
              </w:rPr>
            </w:pPr>
            <w:r w:rsidRPr="00E93722">
              <w:rPr>
                <w:color w:val="000000"/>
                <w:sz w:val="22"/>
                <w:szCs w:val="22"/>
              </w:rPr>
              <w:t>Fałsz</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66DD8" w:rsidRPr="00E93722" w:rsidRDefault="00566DD8" w:rsidP="00E93722">
            <w:pPr>
              <w:pStyle w:val="NormalWeb"/>
              <w:spacing w:before="0" w:beforeAutospacing="0" w:after="0" w:afterAutospacing="0"/>
              <w:jc w:val="center"/>
              <w:rPr>
                <w:sz w:val="22"/>
                <w:szCs w:val="22"/>
              </w:rPr>
            </w:pPr>
            <w:r w:rsidRPr="00E93722">
              <w:rPr>
                <w:color w:val="000000"/>
                <w:sz w:val="22"/>
                <w:szCs w:val="22"/>
              </w:rPr>
              <w:t>Fałsz</w:t>
            </w:r>
          </w:p>
        </w:tc>
      </w:tr>
    </w:tbl>
    <w:p w:rsidR="00566DD8" w:rsidRPr="00E93722" w:rsidRDefault="00566DD8" w:rsidP="00E93722">
      <w:pPr>
        <w:spacing w:after="0" w:line="240" w:lineRule="auto"/>
        <w:rPr>
          <w:rFonts w:ascii="Times New Roman" w:hAnsi="Times New Roman" w:cs="Times New Roman"/>
        </w:rPr>
      </w:pPr>
    </w:p>
    <w:p w:rsidR="00566DD8" w:rsidRPr="00E93722" w:rsidRDefault="00566DD8" w:rsidP="00E93722">
      <w:pPr>
        <w:pStyle w:val="NormalWeb"/>
        <w:spacing w:before="0" w:beforeAutospacing="0" w:after="0" w:afterAutospacing="0"/>
        <w:jc w:val="both"/>
        <w:rPr>
          <w:color w:val="000000"/>
          <w:sz w:val="22"/>
          <w:szCs w:val="22"/>
        </w:rPr>
      </w:pPr>
      <w:r w:rsidRPr="00E93722">
        <w:rPr>
          <w:color w:val="000000"/>
          <w:sz w:val="22"/>
          <w:szCs w:val="22"/>
        </w:rPr>
        <w:t>Odpowiedź: D. Zgodnie z twierdzeniem Modiglianiego - Millera w świecie bez podatków, na średnioważony koszt kapitału nie wpływa wprowadzenie dźwigni finansowej, jednak koszt kapitału własnego zaczyna rosnąć natychmiast w momencie wprowadzenia dźwigni finansowej (WACC się nie zmienia, bo wzrost kosztu kapitału własnego jest kompensowany wzrostem finansowania za pomocą taniego długu).</w:t>
      </w:r>
    </w:p>
    <w:p w:rsidR="00566DD8" w:rsidRPr="00E93722" w:rsidRDefault="00566DD8" w:rsidP="00E93722">
      <w:pPr>
        <w:pStyle w:val="NormalWeb"/>
        <w:spacing w:before="0" w:beforeAutospacing="0" w:after="0" w:afterAutospacing="0"/>
        <w:jc w:val="both"/>
        <w:rPr>
          <w:sz w:val="22"/>
          <w:szCs w:val="22"/>
        </w:rPr>
      </w:pPr>
    </w:p>
    <w:p w:rsidR="00566DD8" w:rsidRPr="00E93722" w:rsidRDefault="00566DD8" w:rsidP="00E93722">
      <w:pPr>
        <w:pStyle w:val="NormalWeb"/>
        <w:spacing w:before="0" w:beforeAutospacing="0" w:after="0" w:afterAutospacing="0"/>
        <w:ind w:hanging="283"/>
        <w:jc w:val="both"/>
        <w:rPr>
          <w:sz w:val="22"/>
          <w:szCs w:val="22"/>
        </w:rPr>
      </w:pPr>
      <w:r w:rsidRPr="00E93722">
        <w:rPr>
          <w:color w:val="000000"/>
          <w:sz w:val="22"/>
          <w:szCs w:val="22"/>
        </w:rPr>
        <w:t>Zad.22. Które z podanych czynników najprawdopodobniej wpłyną na wysokość dźwigni finansowej spółki?</w:t>
      </w:r>
    </w:p>
    <w:p w:rsidR="00566DD8" w:rsidRPr="00E93722" w:rsidRDefault="00566DD8" w:rsidP="00E93722">
      <w:pPr>
        <w:pStyle w:val="NormalWeb"/>
        <w:spacing w:before="0" w:beforeAutospacing="0" w:after="0" w:afterAutospacing="0"/>
        <w:ind w:left="283" w:hanging="283"/>
        <w:jc w:val="both"/>
        <w:rPr>
          <w:sz w:val="22"/>
          <w:szCs w:val="22"/>
        </w:rPr>
      </w:pPr>
      <w:r w:rsidRPr="00E93722">
        <w:rPr>
          <w:color w:val="000000"/>
          <w:sz w:val="22"/>
          <w:szCs w:val="22"/>
        </w:rPr>
        <w:t>A.    Dochody niepodlegające opodatkowaniu</w:t>
      </w:r>
    </w:p>
    <w:p w:rsidR="00566DD8" w:rsidRPr="00E93722" w:rsidRDefault="00566DD8" w:rsidP="00E93722">
      <w:pPr>
        <w:pStyle w:val="NormalWeb"/>
        <w:spacing w:before="0" w:beforeAutospacing="0" w:after="0" w:afterAutospacing="0"/>
        <w:ind w:left="283" w:hanging="283"/>
        <w:jc w:val="both"/>
        <w:rPr>
          <w:sz w:val="22"/>
          <w:szCs w:val="22"/>
        </w:rPr>
      </w:pPr>
      <w:r w:rsidRPr="00E93722">
        <w:rPr>
          <w:color w:val="000000"/>
          <w:sz w:val="22"/>
          <w:szCs w:val="22"/>
        </w:rPr>
        <w:t>B.    Niskie stawki podatkowe.</w:t>
      </w:r>
    </w:p>
    <w:p w:rsidR="00566DD8" w:rsidRPr="00E93722" w:rsidRDefault="00566DD8" w:rsidP="00E93722">
      <w:pPr>
        <w:pStyle w:val="NormalWeb"/>
        <w:spacing w:before="0" w:beforeAutospacing="0" w:after="0" w:afterAutospacing="0"/>
        <w:ind w:left="283" w:hanging="283"/>
        <w:jc w:val="both"/>
        <w:rPr>
          <w:sz w:val="22"/>
          <w:szCs w:val="22"/>
        </w:rPr>
      </w:pPr>
      <w:r w:rsidRPr="00E93722">
        <w:rPr>
          <w:color w:val="000000"/>
          <w:sz w:val="22"/>
          <w:szCs w:val="22"/>
        </w:rPr>
        <w:t>C.    Niski koszt emisji akcji.</w:t>
      </w:r>
    </w:p>
    <w:p w:rsidR="00566DD8" w:rsidRPr="00E93722" w:rsidRDefault="00566DD8" w:rsidP="00E93722">
      <w:pPr>
        <w:pStyle w:val="NormalWeb"/>
        <w:spacing w:before="0" w:beforeAutospacing="0" w:after="0" w:afterAutospacing="0"/>
        <w:ind w:left="283" w:hanging="283"/>
        <w:jc w:val="both"/>
        <w:rPr>
          <w:sz w:val="22"/>
          <w:szCs w:val="22"/>
        </w:rPr>
      </w:pPr>
      <w:r w:rsidRPr="00E93722">
        <w:rPr>
          <w:color w:val="000000"/>
          <w:sz w:val="22"/>
          <w:szCs w:val="22"/>
        </w:rPr>
        <w:t>D.    Niski stosunek wartości niematerialnych i prawnych do wszystkich aktywów.</w:t>
      </w:r>
    </w:p>
    <w:p w:rsidR="00566DD8" w:rsidRPr="00E93722" w:rsidRDefault="00566DD8" w:rsidP="00E93722">
      <w:pPr>
        <w:pStyle w:val="NormalWeb"/>
        <w:spacing w:before="0" w:beforeAutospacing="0" w:after="0" w:afterAutospacing="0"/>
        <w:ind w:hanging="283"/>
        <w:jc w:val="both"/>
        <w:rPr>
          <w:sz w:val="22"/>
          <w:szCs w:val="22"/>
        </w:rPr>
      </w:pPr>
      <w:r w:rsidRPr="00E93722">
        <w:rPr>
          <w:color w:val="000000"/>
          <w:sz w:val="22"/>
          <w:szCs w:val="22"/>
        </w:rPr>
        <w:t>Odpowiedź: D. Niski stosunek wartości niematerialnych i prawnych do wszystkich aktywów. Jakość bazy aktywów jest wyższa jeśli jest w niej mało wartości niematerialnych, dzięki temu inwestorzy chętniej udzielają pożyczek.</w:t>
      </w:r>
    </w:p>
    <w:p w:rsidR="00566DD8" w:rsidRPr="00E93722" w:rsidRDefault="00566DD8" w:rsidP="00E93722">
      <w:pPr>
        <w:spacing w:after="0" w:line="240" w:lineRule="auto"/>
        <w:rPr>
          <w:rFonts w:ascii="Times New Roman" w:hAnsi="Times New Roman" w:cs="Times New Roman"/>
        </w:rPr>
      </w:pPr>
    </w:p>
    <w:p w:rsidR="00566DD8" w:rsidRPr="00E93722" w:rsidRDefault="00566DD8" w:rsidP="00E93722">
      <w:pPr>
        <w:pStyle w:val="NormalWeb"/>
        <w:spacing w:before="0" w:beforeAutospacing="0" w:after="0" w:afterAutospacing="0"/>
        <w:ind w:hanging="283"/>
        <w:jc w:val="both"/>
        <w:rPr>
          <w:sz w:val="22"/>
          <w:szCs w:val="22"/>
        </w:rPr>
      </w:pPr>
      <w:r w:rsidRPr="00E93722">
        <w:rPr>
          <w:color w:val="000000"/>
          <w:sz w:val="22"/>
          <w:szCs w:val="22"/>
        </w:rPr>
        <w:t xml:space="preserve">Zad.23. Porównując </w:t>
      </w:r>
      <w:r w:rsidR="005B447D">
        <w:rPr>
          <w:color w:val="000000"/>
          <w:sz w:val="22"/>
          <w:szCs w:val="22"/>
        </w:rPr>
        <w:t>obligacje z opcją konwersji</w:t>
      </w:r>
      <w:r w:rsidRPr="00E93722">
        <w:rPr>
          <w:color w:val="000000"/>
          <w:sz w:val="22"/>
          <w:szCs w:val="22"/>
        </w:rPr>
        <w:t xml:space="preserve">, do </w:t>
      </w:r>
      <w:r w:rsidR="005B447D">
        <w:rPr>
          <w:color w:val="000000"/>
          <w:sz w:val="22"/>
          <w:szCs w:val="22"/>
        </w:rPr>
        <w:t>zwykłych obligacji komercyjnych</w:t>
      </w:r>
      <w:r w:rsidRPr="00E93722">
        <w:rPr>
          <w:color w:val="000000"/>
          <w:sz w:val="22"/>
          <w:szCs w:val="22"/>
        </w:rPr>
        <w:t>, które z poniższych stwierdzeń jest prawdziwe?</w:t>
      </w:r>
    </w:p>
    <w:p w:rsidR="00566DD8" w:rsidRPr="00E93722" w:rsidRDefault="00566DD8" w:rsidP="00E93722">
      <w:pPr>
        <w:pStyle w:val="NormalWeb"/>
        <w:spacing w:before="0" w:beforeAutospacing="0" w:after="0" w:afterAutospacing="0"/>
        <w:ind w:left="283" w:hanging="283"/>
        <w:jc w:val="both"/>
        <w:rPr>
          <w:sz w:val="22"/>
          <w:szCs w:val="22"/>
        </w:rPr>
      </w:pPr>
      <w:r w:rsidRPr="00E93722">
        <w:rPr>
          <w:color w:val="000000"/>
          <w:sz w:val="22"/>
          <w:szCs w:val="22"/>
        </w:rPr>
        <w:t>A.    Będą prawdopodobnie bardziej kosztowne w obsłudze, ze względu na ich składnik kapitałowy.</w:t>
      </w:r>
    </w:p>
    <w:p w:rsidR="00566DD8" w:rsidRPr="00E93722" w:rsidRDefault="00566DD8" w:rsidP="00E93722">
      <w:pPr>
        <w:pStyle w:val="NormalWeb"/>
        <w:spacing w:before="0" w:beforeAutospacing="0" w:after="0" w:afterAutospacing="0"/>
        <w:ind w:left="283" w:hanging="283"/>
        <w:jc w:val="both"/>
        <w:rPr>
          <w:sz w:val="22"/>
          <w:szCs w:val="22"/>
        </w:rPr>
      </w:pPr>
      <w:r w:rsidRPr="00E93722">
        <w:rPr>
          <w:color w:val="000000"/>
          <w:sz w:val="22"/>
          <w:szCs w:val="22"/>
        </w:rPr>
        <w:t>B.    Będą prawdopodobnie mniej kosztowne w obsłudze, ze względu na ich składnik kapitałowy.</w:t>
      </w:r>
    </w:p>
    <w:p w:rsidR="00566DD8" w:rsidRPr="00E93722" w:rsidRDefault="00566DD8" w:rsidP="00E93722">
      <w:pPr>
        <w:pStyle w:val="NormalWeb"/>
        <w:spacing w:before="0" w:beforeAutospacing="0" w:after="0" w:afterAutospacing="0"/>
        <w:ind w:left="283" w:hanging="283"/>
        <w:jc w:val="both"/>
        <w:rPr>
          <w:sz w:val="22"/>
          <w:szCs w:val="22"/>
        </w:rPr>
      </w:pPr>
      <w:r w:rsidRPr="00E93722">
        <w:rPr>
          <w:color w:val="000000"/>
          <w:sz w:val="22"/>
          <w:szCs w:val="22"/>
        </w:rPr>
        <w:t xml:space="preserve">C.    Będą prawdopodobnie bardziej kosztowne w obsłudze, ponieważ konwersja na </w:t>
      </w:r>
      <w:r w:rsidR="00D70BEB">
        <w:rPr>
          <w:color w:val="000000"/>
          <w:sz w:val="22"/>
          <w:szCs w:val="22"/>
        </w:rPr>
        <w:t>akcje</w:t>
      </w:r>
      <w:r w:rsidRPr="00E93722">
        <w:rPr>
          <w:color w:val="000000"/>
          <w:sz w:val="22"/>
          <w:szCs w:val="22"/>
        </w:rPr>
        <w:t xml:space="preserve"> wymaga dodatkowych opłat.</w:t>
      </w:r>
    </w:p>
    <w:p w:rsidR="00566DD8" w:rsidRPr="00E93722" w:rsidRDefault="00566DD8" w:rsidP="00E93722">
      <w:pPr>
        <w:pStyle w:val="NormalWeb"/>
        <w:spacing w:before="0" w:beforeAutospacing="0" w:after="0" w:afterAutospacing="0"/>
        <w:ind w:left="283" w:hanging="283"/>
        <w:jc w:val="both"/>
        <w:rPr>
          <w:sz w:val="22"/>
          <w:szCs w:val="22"/>
        </w:rPr>
      </w:pPr>
      <w:r w:rsidRPr="00E93722">
        <w:rPr>
          <w:color w:val="000000"/>
          <w:sz w:val="22"/>
          <w:szCs w:val="22"/>
        </w:rPr>
        <w:t xml:space="preserve">D.    Będą prawdopodobnie mniej kosztowne w obsłudze, ponieważ </w:t>
      </w:r>
      <w:r w:rsidR="00D70BEB">
        <w:rPr>
          <w:color w:val="000000"/>
          <w:sz w:val="22"/>
          <w:szCs w:val="22"/>
        </w:rPr>
        <w:t>wymagają mniej dodatkowych opłat przy ich emisji</w:t>
      </w:r>
      <w:r w:rsidRPr="00E93722">
        <w:rPr>
          <w:color w:val="000000"/>
          <w:sz w:val="22"/>
          <w:szCs w:val="22"/>
        </w:rPr>
        <w:t>.</w:t>
      </w:r>
    </w:p>
    <w:p w:rsidR="007A5F97" w:rsidRDefault="007A5F97" w:rsidP="007A5F97">
      <w:pPr>
        <w:pStyle w:val="NormalWeb"/>
        <w:spacing w:before="0" w:beforeAutospacing="0" w:after="0" w:afterAutospacing="0"/>
        <w:ind w:hanging="283"/>
        <w:jc w:val="both"/>
        <w:rPr>
          <w:color w:val="000000"/>
          <w:sz w:val="22"/>
          <w:szCs w:val="22"/>
        </w:rPr>
      </w:pPr>
    </w:p>
    <w:p w:rsidR="007A5F97" w:rsidRDefault="00566DD8" w:rsidP="007A5F97">
      <w:pPr>
        <w:pStyle w:val="NormalWeb"/>
        <w:spacing w:before="0" w:beforeAutospacing="0" w:after="0" w:afterAutospacing="0"/>
        <w:ind w:hanging="283"/>
        <w:jc w:val="both"/>
        <w:rPr>
          <w:color w:val="000000"/>
          <w:sz w:val="22"/>
          <w:szCs w:val="22"/>
        </w:rPr>
      </w:pPr>
      <w:r w:rsidRPr="00E93722">
        <w:rPr>
          <w:color w:val="000000"/>
          <w:sz w:val="22"/>
          <w:szCs w:val="22"/>
        </w:rPr>
        <w:t xml:space="preserve">Odpowiedź: B. </w:t>
      </w:r>
    </w:p>
    <w:p w:rsidR="009207A6" w:rsidRDefault="00566DD8" w:rsidP="007A5F97">
      <w:pPr>
        <w:pStyle w:val="NormalWeb"/>
        <w:spacing w:before="0" w:beforeAutospacing="0" w:after="0" w:afterAutospacing="0"/>
        <w:ind w:hanging="283"/>
        <w:jc w:val="both"/>
        <w:rPr>
          <w:color w:val="000000"/>
          <w:sz w:val="22"/>
          <w:szCs w:val="22"/>
        </w:rPr>
      </w:pPr>
      <w:r w:rsidRPr="00E93722">
        <w:rPr>
          <w:color w:val="000000"/>
          <w:sz w:val="22"/>
          <w:szCs w:val="22"/>
        </w:rPr>
        <w:t>Ze względu na możliwość potencjalnych zysków osiągniętych przez konwersję, inwestorzy są skłonni zaakceptować niższe oprocentowanie długu.</w:t>
      </w:r>
    </w:p>
    <w:p w:rsidR="007A5F97" w:rsidRPr="007A5F97" w:rsidRDefault="007A5F97" w:rsidP="007A5F97">
      <w:pPr>
        <w:pStyle w:val="NormalWeb"/>
        <w:spacing w:before="0" w:beforeAutospacing="0" w:after="0" w:afterAutospacing="0"/>
        <w:ind w:hanging="283"/>
        <w:jc w:val="both"/>
        <w:rPr>
          <w:color w:val="000000"/>
          <w:sz w:val="22"/>
          <w:szCs w:val="22"/>
        </w:rPr>
      </w:pPr>
    </w:p>
    <w:p w:rsidR="00566DD8" w:rsidRPr="00E93722" w:rsidRDefault="00566DD8" w:rsidP="00E93722">
      <w:pPr>
        <w:pStyle w:val="NormalWeb"/>
        <w:spacing w:before="0" w:beforeAutospacing="0" w:after="0" w:afterAutospacing="0"/>
        <w:ind w:hanging="283"/>
        <w:jc w:val="both"/>
        <w:rPr>
          <w:sz w:val="22"/>
          <w:szCs w:val="22"/>
        </w:rPr>
      </w:pPr>
      <w:r w:rsidRPr="00E93722">
        <w:rPr>
          <w:color w:val="000000"/>
          <w:sz w:val="22"/>
          <w:szCs w:val="22"/>
        </w:rPr>
        <w:t>Zad.24. Które z poniższych stwierdzeń najlepiej oddaje wniosek Modiglianiego &amp; Millera na temat znaczenia polityki dywidendowej?</w:t>
      </w:r>
    </w:p>
    <w:p w:rsidR="00566DD8" w:rsidRPr="00E93722" w:rsidRDefault="00566DD8" w:rsidP="00E93722">
      <w:pPr>
        <w:pStyle w:val="NormalWeb"/>
        <w:spacing w:before="0" w:beforeAutospacing="0" w:after="0" w:afterAutospacing="0"/>
        <w:ind w:left="283" w:hanging="283"/>
        <w:jc w:val="both"/>
        <w:rPr>
          <w:sz w:val="22"/>
          <w:szCs w:val="22"/>
        </w:rPr>
      </w:pPr>
      <w:r w:rsidRPr="00E93722">
        <w:rPr>
          <w:color w:val="000000"/>
          <w:sz w:val="22"/>
          <w:szCs w:val="22"/>
        </w:rPr>
        <w:t>A.    Wszyscy udziałowcy są obojętni na to czy otrzymają dywidendę czy część zysku kapitałowego spółki.</w:t>
      </w:r>
    </w:p>
    <w:p w:rsidR="00566DD8" w:rsidRPr="00E93722" w:rsidRDefault="00566DD8" w:rsidP="00E93722">
      <w:pPr>
        <w:pStyle w:val="NormalWeb"/>
        <w:spacing w:before="0" w:beforeAutospacing="0" w:after="0" w:afterAutospacing="0"/>
        <w:ind w:left="283" w:hanging="283"/>
        <w:jc w:val="both"/>
        <w:rPr>
          <w:sz w:val="22"/>
          <w:szCs w:val="22"/>
        </w:rPr>
      </w:pPr>
      <w:r w:rsidRPr="00E93722">
        <w:rPr>
          <w:color w:val="000000"/>
          <w:sz w:val="22"/>
          <w:szCs w:val="22"/>
        </w:rPr>
        <w:t>B.    Wzrost retencji skutkuje wyższą stopą wzrostu.</w:t>
      </w:r>
    </w:p>
    <w:p w:rsidR="00566DD8" w:rsidRPr="00E93722" w:rsidRDefault="00566DD8" w:rsidP="00E93722">
      <w:pPr>
        <w:pStyle w:val="NormalWeb"/>
        <w:spacing w:before="0" w:beforeAutospacing="0" w:after="0" w:afterAutospacing="0"/>
        <w:ind w:left="283" w:hanging="283"/>
        <w:jc w:val="both"/>
        <w:rPr>
          <w:sz w:val="22"/>
          <w:szCs w:val="22"/>
        </w:rPr>
      </w:pPr>
      <w:r w:rsidRPr="00E93722">
        <w:rPr>
          <w:color w:val="000000"/>
          <w:sz w:val="22"/>
          <w:szCs w:val="22"/>
        </w:rPr>
        <w:t>C.    Dyskontowanie dywidend nie jest odpowiednim sposobem pomiaru wartości aktywów przedsiębiorstwa.</w:t>
      </w:r>
    </w:p>
    <w:p w:rsidR="00566DD8" w:rsidRPr="00E93722" w:rsidRDefault="00566DD8" w:rsidP="00E93722">
      <w:pPr>
        <w:pStyle w:val="NormalWeb"/>
        <w:spacing w:before="0" w:beforeAutospacing="0" w:after="0" w:afterAutospacing="0"/>
        <w:ind w:left="283" w:hanging="283"/>
        <w:jc w:val="both"/>
        <w:rPr>
          <w:sz w:val="22"/>
          <w:szCs w:val="22"/>
        </w:rPr>
      </w:pPr>
      <w:r w:rsidRPr="00E93722">
        <w:rPr>
          <w:color w:val="000000"/>
          <w:sz w:val="22"/>
          <w:szCs w:val="22"/>
        </w:rPr>
        <w:t>D.    Wartość kapitału własnego jest determinowana wyłącznie przez kryteria wyboru inwestycji przedsiębiorstwa.</w:t>
      </w:r>
    </w:p>
    <w:p w:rsidR="00566DD8" w:rsidRPr="00E93722" w:rsidRDefault="00566DD8" w:rsidP="00E93722">
      <w:pPr>
        <w:pStyle w:val="NormalWeb"/>
        <w:spacing w:before="0" w:beforeAutospacing="0" w:after="0" w:afterAutospacing="0"/>
        <w:ind w:hanging="283"/>
        <w:jc w:val="both"/>
        <w:rPr>
          <w:sz w:val="22"/>
          <w:szCs w:val="22"/>
        </w:rPr>
      </w:pPr>
      <w:r w:rsidRPr="00E93722">
        <w:rPr>
          <w:color w:val="000000"/>
          <w:sz w:val="22"/>
          <w:szCs w:val="22"/>
        </w:rPr>
        <w:t xml:space="preserve">Odpowiedź: D. </w:t>
      </w:r>
    </w:p>
    <w:p w:rsidR="00566DD8" w:rsidRPr="00E93722" w:rsidRDefault="00566DD8" w:rsidP="00E93722">
      <w:pPr>
        <w:pStyle w:val="NormalWeb"/>
        <w:spacing w:before="0" w:beforeAutospacing="0" w:after="0" w:afterAutospacing="0"/>
        <w:jc w:val="both"/>
        <w:rPr>
          <w:sz w:val="22"/>
          <w:szCs w:val="22"/>
        </w:rPr>
      </w:pPr>
      <w:r w:rsidRPr="00E93722">
        <w:rPr>
          <w:color w:val="000000"/>
          <w:sz w:val="22"/>
          <w:szCs w:val="22"/>
        </w:rPr>
        <w:t>A jest wynikiem założenia istnienia doskonałego rynku kapitałowego, nie jest to wniosek.</w:t>
      </w:r>
    </w:p>
    <w:p w:rsidR="00566DD8" w:rsidRPr="00E93722" w:rsidRDefault="00566DD8" w:rsidP="00E93722">
      <w:pPr>
        <w:pStyle w:val="NormalWeb"/>
        <w:spacing w:before="0" w:beforeAutospacing="0" w:after="0" w:afterAutospacing="0"/>
        <w:jc w:val="both"/>
        <w:rPr>
          <w:sz w:val="22"/>
          <w:szCs w:val="22"/>
        </w:rPr>
      </w:pPr>
      <w:r w:rsidRPr="00E93722">
        <w:rPr>
          <w:color w:val="000000"/>
          <w:sz w:val="22"/>
          <w:szCs w:val="22"/>
        </w:rPr>
        <w:t>B jest modelem wzrostu Gordona.</w:t>
      </w:r>
    </w:p>
    <w:p w:rsidR="00566DD8" w:rsidRPr="00E93722" w:rsidRDefault="00566DD8" w:rsidP="00E93722">
      <w:pPr>
        <w:pStyle w:val="NormalWeb"/>
        <w:spacing w:before="0" w:beforeAutospacing="0" w:after="0" w:afterAutospacing="0"/>
        <w:jc w:val="both"/>
        <w:rPr>
          <w:sz w:val="22"/>
          <w:szCs w:val="22"/>
        </w:rPr>
      </w:pPr>
      <w:r w:rsidRPr="00E93722">
        <w:rPr>
          <w:color w:val="000000"/>
          <w:sz w:val="22"/>
          <w:szCs w:val="22"/>
        </w:rPr>
        <w:t>C zaprzecza modelowi pomiaru dywidendy, co nie jest tematem rozważań M&amp;M.</w:t>
      </w:r>
    </w:p>
    <w:p w:rsidR="00566DD8" w:rsidRPr="00E93722" w:rsidRDefault="00566DD8" w:rsidP="00E93722">
      <w:pPr>
        <w:pStyle w:val="NormalWeb"/>
        <w:spacing w:before="0" w:beforeAutospacing="0" w:after="0" w:afterAutospacing="0"/>
        <w:jc w:val="both"/>
        <w:rPr>
          <w:color w:val="000000"/>
          <w:sz w:val="22"/>
          <w:szCs w:val="22"/>
        </w:rPr>
      </w:pPr>
      <w:r w:rsidRPr="00E93722">
        <w:rPr>
          <w:color w:val="000000"/>
          <w:sz w:val="22"/>
          <w:szCs w:val="22"/>
        </w:rPr>
        <w:t>Dobrą odpowiedzią jest D.</w:t>
      </w:r>
    </w:p>
    <w:p w:rsidR="00566DD8" w:rsidRDefault="00566DD8" w:rsidP="00E93722">
      <w:pPr>
        <w:pStyle w:val="NormalWeb"/>
        <w:spacing w:before="0" w:beforeAutospacing="0" w:after="0" w:afterAutospacing="0"/>
        <w:jc w:val="both"/>
        <w:rPr>
          <w:sz w:val="22"/>
          <w:szCs w:val="22"/>
        </w:rPr>
      </w:pPr>
    </w:p>
    <w:p w:rsidR="007754D4" w:rsidRDefault="007754D4" w:rsidP="00E93722">
      <w:pPr>
        <w:pStyle w:val="NormalWeb"/>
        <w:spacing w:before="0" w:beforeAutospacing="0" w:after="0" w:afterAutospacing="0"/>
        <w:jc w:val="both"/>
        <w:rPr>
          <w:sz w:val="22"/>
          <w:szCs w:val="22"/>
        </w:rPr>
      </w:pPr>
    </w:p>
    <w:p w:rsidR="007754D4" w:rsidRPr="00E93722" w:rsidRDefault="007754D4" w:rsidP="00E93722">
      <w:pPr>
        <w:pStyle w:val="NormalWeb"/>
        <w:spacing w:before="0" w:beforeAutospacing="0" w:after="0" w:afterAutospacing="0"/>
        <w:jc w:val="both"/>
        <w:rPr>
          <w:sz w:val="22"/>
          <w:szCs w:val="22"/>
        </w:rPr>
      </w:pPr>
    </w:p>
    <w:p w:rsidR="00566DD8" w:rsidRPr="00E93722" w:rsidRDefault="00566DD8" w:rsidP="00E93722">
      <w:pPr>
        <w:pStyle w:val="NormalWeb"/>
        <w:spacing w:before="0" w:beforeAutospacing="0" w:after="0" w:afterAutospacing="0"/>
        <w:ind w:hanging="283"/>
        <w:jc w:val="both"/>
        <w:rPr>
          <w:sz w:val="22"/>
          <w:szCs w:val="22"/>
        </w:rPr>
      </w:pPr>
      <w:r w:rsidRPr="00E93722">
        <w:rPr>
          <w:color w:val="000000"/>
          <w:sz w:val="22"/>
          <w:szCs w:val="22"/>
        </w:rPr>
        <w:lastRenderedPageBreak/>
        <w:t>Zad.2</w:t>
      </w:r>
      <w:r w:rsidR="009207A6" w:rsidRPr="00E93722">
        <w:rPr>
          <w:color w:val="000000"/>
          <w:sz w:val="22"/>
          <w:szCs w:val="22"/>
        </w:rPr>
        <w:t>5</w:t>
      </w:r>
      <w:r w:rsidRPr="00E93722">
        <w:rPr>
          <w:color w:val="000000"/>
          <w:sz w:val="22"/>
          <w:szCs w:val="22"/>
        </w:rPr>
        <w:t>. Przedsiębiorstwo zamierza podjąć się projektu finansowanego z kapitału własnego oraz obcego, na rynku, gdzie stawka podatku od osób prawnych wynosi 30%.</w:t>
      </w:r>
    </w:p>
    <w:p w:rsidR="00566DD8" w:rsidRPr="00E93722" w:rsidRDefault="00566DD8" w:rsidP="00E93722">
      <w:pPr>
        <w:pStyle w:val="NormalWeb"/>
        <w:spacing w:before="0" w:beforeAutospacing="0" w:after="0" w:afterAutospacing="0"/>
        <w:ind w:left="283"/>
        <w:jc w:val="both"/>
        <w:rPr>
          <w:sz w:val="22"/>
          <w:szCs w:val="22"/>
        </w:rPr>
      </w:pPr>
      <w:r w:rsidRPr="00E93722">
        <w:rPr>
          <w:color w:val="000000"/>
          <w:sz w:val="22"/>
          <w:szCs w:val="22"/>
        </w:rPr>
        <w:t>Zakładając idealne warunki rynkowe, poza podatkowymi, które z poniższych stwierdzeń o projekcie jest prawdziwe?</w:t>
      </w:r>
    </w:p>
    <w:p w:rsidR="00566DD8" w:rsidRPr="00E93722" w:rsidRDefault="00566DD8" w:rsidP="00E93722">
      <w:pPr>
        <w:pStyle w:val="NormalWeb"/>
        <w:numPr>
          <w:ilvl w:val="0"/>
          <w:numId w:val="18"/>
        </w:numPr>
        <w:spacing w:before="0" w:beforeAutospacing="0" w:after="0" w:afterAutospacing="0"/>
        <w:jc w:val="both"/>
        <w:textAlignment w:val="baseline"/>
        <w:rPr>
          <w:color w:val="000000"/>
          <w:sz w:val="22"/>
          <w:szCs w:val="22"/>
        </w:rPr>
      </w:pPr>
      <w:r w:rsidRPr="00E93722">
        <w:rPr>
          <w:color w:val="000000"/>
          <w:sz w:val="22"/>
          <w:szCs w:val="22"/>
        </w:rPr>
        <w:t>βe&gt;βa; WACC &lt; Koszt kapitału obliczony za pomocą βa; WACC &lt; Koszt kapitału obliczony za pomocą βe</w:t>
      </w:r>
    </w:p>
    <w:p w:rsidR="00566DD8" w:rsidRPr="00E93722" w:rsidRDefault="00566DD8" w:rsidP="00E93722">
      <w:pPr>
        <w:pStyle w:val="NormalWeb"/>
        <w:numPr>
          <w:ilvl w:val="0"/>
          <w:numId w:val="18"/>
        </w:numPr>
        <w:spacing w:before="0" w:beforeAutospacing="0" w:after="0" w:afterAutospacing="0"/>
        <w:jc w:val="both"/>
        <w:textAlignment w:val="baseline"/>
        <w:rPr>
          <w:color w:val="000000"/>
          <w:sz w:val="22"/>
          <w:szCs w:val="22"/>
        </w:rPr>
      </w:pPr>
      <w:r w:rsidRPr="00E93722">
        <w:rPr>
          <w:color w:val="000000"/>
          <w:sz w:val="22"/>
          <w:szCs w:val="22"/>
        </w:rPr>
        <w:t>βe&lt;βa; WACC &gt; Koszt kapitału obliczony za pomocą βa; WACC &gt; Koszt kapitału obliczony za pomocą βe</w:t>
      </w:r>
    </w:p>
    <w:p w:rsidR="00566DD8" w:rsidRPr="00E93722" w:rsidRDefault="00566DD8" w:rsidP="00E93722">
      <w:pPr>
        <w:pStyle w:val="NormalWeb"/>
        <w:numPr>
          <w:ilvl w:val="0"/>
          <w:numId w:val="18"/>
        </w:numPr>
        <w:spacing w:before="0" w:beforeAutospacing="0" w:after="0" w:afterAutospacing="0"/>
        <w:jc w:val="both"/>
        <w:textAlignment w:val="baseline"/>
        <w:rPr>
          <w:color w:val="000000"/>
          <w:sz w:val="22"/>
          <w:szCs w:val="22"/>
        </w:rPr>
      </w:pPr>
      <w:r w:rsidRPr="00E93722">
        <w:rPr>
          <w:color w:val="000000"/>
          <w:sz w:val="22"/>
          <w:szCs w:val="22"/>
        </w:rPr>
        <w:t>βe&gt;βa; WACC &lt; Koszt kapitału obliczony za pomocą βa; WACC &gt; Koszt kapitału obliczony za pomocą βe</w:t>
      </w:r>
    </w:p>
    <w:p w:rsidR="00566DD8" w:rsidRPr="00E93722" w:rsidRDefault="00566DD8" w:rsidP="00E93722">
      <w:pPr>
        <w:pStyle w:val="NormalWeb"/>
        <w:numPr>
          <w:ilvl w:val="0"/>
          <w:numId w:val="18"/>
        </w:numPr>
        <w:spacing w:before="0" w:beforeAutospacing="0" w:after="0" w:afterAutospacing="0"/>
        <w:jc w:val="both"/>
        <w:textAlignment w:val="baseline"/>
        <w:rPr>
          <w:color w:val="000000"/>
          <w:sz w:val="22"/>
          <w:szCs w:val="22"/>
        </w:rPr>
      </w:pPr>
      <w:r w:rsidRPr="00E93722">
        <w:rPr>
          <w:color w:val="000000"/>
          <w:sz w:val="22"/>
          <w:szCs w:val="22"/>
        </w:rPr>
        <w:t>βe&lt;βa; WACC &gt; Koszt kapitału obliczony za pomocą βa; WACC &lt; Koszt kapitału obliczony za pomocą βe</w:t>
      </w:r>
    </w:p>
    <w:p w:rsidR="00566DD8" w:rsidRPr="00E93722" w:rsidRDefault="00566DD8" w:rsidP="00E93722">
      <w:pPr>
        <w:pStyle w:val="NormalWeb"/>
        <w:spacing w:before="0" w:beforeAutospacing="0" w:after="0" w:afterAutospacing="0"/>
        <w:jc w:val="both"/>
        <w:rPr>
          <w:sz w:val="22"/>
          <w:szCs w:val="22"/>
        </w:rPr>
      </w:pPr>
      <w:r w:rsidRPr="00E93722">
        <w:rPr>
          <w:color w:val="000000"/>
          <w:sz w:val="22"/>
          <w:szCs w:val="22"/>
        </w:rPr>
        <w:t xml:space="preserve">Odpowiedź A. </w:t>
      </w:r>
    </w:p>
    <w:p w:rsidR="00566DD8" w:rsidRPr="00E93722" w:rsidRDefault="00566DD8" w:rsidP="00E93722">
      <w:pPr>
        <w:pStyle w:val="NormalWeb"/>
        <w:spacing w:before="0" w:beforeAutospacing="0" w:after="0" w:afterAutospacing="0"/>
        <w:jc w:val="both"/>
        <w:rPr>
          <w:sz w:val="22"/>
          <w:szCs w:val="22"/>
        </w:rPr>
      </w:pPr>
      <w:r w:rsidRPr="00E93722">
        <w:rPr>
          <w:color w:val="000000"/>
          <w:sz w:val="22"/>
          <w:szCs w:val="22"/>
        </w:rPr>
        <w:t>βe&gt;βa  ponieważ dźwignia finansowa zwiększa ryzyko kapitałowe.</w:t>
      </w:r>
    </w:p>
    <w:p w:rsidR="00566DD8" w:rsidRPr="00E93722" w:rsidRDefault="00566DD8" w:rsidP="00E93722">
      <w:pPr>
        <w:pStyle w:val="NormalWeb"/>
        <w:spacing w:before="0" w:beforeAutospacing="0" w:after="0" w:afterAutospacing="0"/>
        <w:jc w:val="both"/>
        <w:rPr>
          <w:color w:val="000000"/>
          <w:sz w:val="22"/>
          <w:szCs w:val="22"/>
        </w:rPr>
      </w:pPr>
      <w:r w:rsidRPr="00E93722">
        <w:rPr>
          <w:color w:val="000000"/>
          <w:sz w:val="22"/>
          <w:szCs w:val="22"/>
        </w:rPr>
        <w:t>Ulga podatkowa w zakresie finansowania kapitałem obcym redukuje WACC poniżej kosztu kapitału własnego bez użycia dźwigni finansowej, a więc także poniżej kosztu kapitału własnego z użyciem dźwigni finansowej.</w:t>
      </w:r>
    </w:p>
    <w:p w:rsidR="00566DD8" w:rsidRPr="00E93722" w:rsidRDefault="00566DD8" w:rsidP="00E93722">
      <w:pPr>
        <w:pStyle w:val="NormalWeb"/>
        <w:spacing w:before="0" w:beforeAutospacing="0" w:after="0" w:afterAutospacing="0"/>
        <w:jc w:val="both"/>
        <w:rPr>
          <w:sz w:val="22"/>
          <w:szCs w:val="22"/>
        </w:rPr>
      </w:pPr>
    </w:p>
    <w:p w:rsidR="00566DD8" w:rsidRPr="00E93722" w:rsidRDefault="00566DD8" w:rsidP="00E93722">
      <w:pPr>
        <w:pStyle w:val="NormalWeb"/>
        <w:spacing w:before="0" w:beforeAutospacing="0" w:after="0" w:afterAutospacing="0"/>
        <w:ind w:hanging="283"/>
        <w:jc w:val="both"/>
        <w:rPr>
          <w:sz w:val="22"/>
          <w:szCs w:val="22"/>
        </w:rPr>
      </w:pPr>
      <w:r w:rsidRPr="00E93722">
        <w:rPr>
          <w:color w:val="000000"/>
          <w:sz w:val="22"/>
          <w:szCs w:val="22"/>
        </w:rPr>
        <w:t>Zad.2</w:t>
      </w:r>
      <w:r w:rsidR="009207A6" w:rsidRPr="00E93722">
        <w:rPr>
          <w:color w:val="000000"/>
          <w:sz w:val="22"/>
          <w:szCs w:val="22"/>
        </w:rPr>
        <w:t>6</w:t>
      </w:r>
      <w:r w:rsidRPr="00E93722">
        <w:rPr>
          <w:color w:val="000000"/>
          <w:sz w:val="22"/>
          <w:szCs w:val="22"/>
        </w:rPr>
        <w:t xml:space="preserve">.  Jeśli przedsiębiorstwo aktualnie płacące swoim pracownikom w systemie </w:t>
      </w:r>
      <w:r w:rsidR="007754D4">
        <w:rPr>
          <w:color w:val="000000"/>
          <w:sz w:val="22"/>
          <w:szCs w:val="22"/>
        </w:rPr>
        <w:t xml:space="preserve">akordowym </w:t>
      </w:r>
      <w:r w:rsidRPr="00E93722">
        <w:rPr>
          <w:color w:val="000000"/>
          <w:sz w:val="22"/>
          <w:szCs w:val="22"/>
        </w:rPr>
        <w:t>zautomatyzuje linię produkcyjną, które z poniższych zdań będzie prawdziwe w odniesieniu do reakcji dźwigni operacyjnej tej firmy?</w:t>
      </w:r>
    </w:p>
    <w:p w:rsidR="00566DD8" w:rsidRPr="00E93722" w:rsidRDefault="00566DD8" w:rsidP="00E93722">
      <w:pPr>
        <w:pStyle w:val="NormalWeb"/>
        <w:spacing w:before="0" w:beforeAutospacing="0" w:after="0" w:afterAutospacing="0"/>
        <w:ind w:left="283" w:hanging="283"/>
        <w:jc w:val="both"/>
        <w:rPr>
          <w:sz w:val="22"/>
          <w:szCs w:val="22"/>
        </w:rPr>
      </w:pPr>
      <w:r w:rsidRPr="00E93722">
        <w:rPr>
          <w:color w:val="000000"/>
          <w:sz w:val="22"/>
          <w:szCs w:val="22"/>
        </w:rPr>
        <w:t>A.    Zmaleje</w:t>
      </w:r>
    </w:p>
    <w:p w:rsidR="00566DD8" w:rsidRPr="00E93722" w:rsidRDefault="00566DD8" w:rsidP="00E93722">
      <w:pPr>
        <w:pStyle w:val="NormalWeb"/>
        <w:spacing w:before="0" w:beforeAutospacing="0" w:after="0" w:afterAutospacing="0"/>
        <w:ind w:left="283" w:hanging="283"/>
        <w:jc w:val="both"/>
        <w:rPr>
          <w:sz w:val="22"/>
          <w:szCs w:val="22"/>
        </w:rPr>
      </w:pPr>
      <w:r w:rsidRPr="00E93722">
        <w:rPr>
          <w:color w:val="000000"/>
          <w:sz w:val="22"/>
          <w:szCs w:val="22"/>
        </w:rPr>
        <w:t>B.    Wzrośnie</w:t>
      </w:r>
    </w:p>
    <w:p w:rsidR="00566DD8" w:rsidRPr="00E93722" w:rsidRDefault="00566DD8" w:rsidP="00E93722">
      <w:pPr>
        <w:pStyle w:val="NormalWeb"/>
        <w:spacing w:before="0" w:beforeAutospacing="0" w:after="0" w:afterAutospacing="0"/>
        <w:ind w:left="283" w:hanging="283"/>
        <w:jc w:val="both"/>
        <w:rPr>
          <w:sz w:val="22"/>
          <w:szCs w:val="22"/>
        </w:rPr>
      </w:pPr>
      <w:r w:rsidRPr="00E93722">
        <w:rPr>
          <w:color w:val="000000"/>
          <w:sz w:val="22"/>
          <w:szCs w:val="22"/>
        </w:rPr>
        <w:t>C.    Pozostanie taka sama.</w:t>
      </w:r>
    </w:p>
    <w:p w:rsidR="00566DD8" w:rsidRPr="00E93722" w:rsidRDefault="00566DD8" w:rsidP="00E93722">
      <w:pPr>
        <w:pStyle w:val="NormalWeb"/>
        <w:spacing w:before="0" w:beforeAutospacing="0" w:after="0" w:afterAutospacing="0"/>
        <w:ind w:left="283" w:hanging="283"/>
        <w:jc w:val="both"/>
        <w:rPr>
          <w:sz w:val="22"/>
          <w:szCs w:val="22"/>
        </w:rPr>
      </w:pPr>
      <w:r w:rsidRPr="00E93722">
        <w:rPr>
          <w:color w:val="000000"/>
          <w:sz w:val="22"/>
          <w:szCs w:val="22"/>
        </w:rPr>
        <w:t>D.    Wzrośnie lub zmaleje w zależności od natury procesu produkcyjnego.</w:t>
      </w:r>
    </w:p>
    <w:p w:rsidR="00566DD8" w:rsidRPr="00E93722" w:rsidRDefault="00566DD8" w:rsidP="00E93722">
      <w:pPr>
        <w:pStyle w:val="NormalWeb"/>
        <w:spacing w:before="0" w:beforeAutospacing="0" w:after="0" w:afterAutospacing="0"/>
        <w:jc w:val="both"/>
        <w:rPr>
          <w:sz w:val="22"/>
          <w:szCs w:val="22"/>
        </w:rPr>
      </w:pPr>
      <w:r w:rsidRPr="00E93722">
        <w:rPr>
          <w:color w:val="000000"/>
          <w:sz w:val="22"/>
          <w:szCs w:val="22"/>
        </w:rPr>
        <w:t>Odpowiedź B.</w:t>
      </w:r>
    </w:p>
    <w:p w:rsidR="00566DD8" w:rsidRPr="00E93722" w:rsidRDefault="00566DD8" w:rsidP="00E93722">
      <w:pPr>
        <w:pStyle w:val="NormalWeb"/>
        <w:spacing w:before="0" w:beforeAutospacing="0" w:after="0" w:afterAutospacing="0"/>
        <w:jc w:val="both"/>
        <w:rPr>
          <w:sz w:val="22"/>
          <w:szCs w:val="22"/>
        </w:rPr>
      </w:pPr>
      <w:r w:rsidRPr="00E93722">
        <w:rPr>
          <w:color w:val="000000"/>
          <w:sz w:val="22"/>
          <w:szCs w:val="22"/>
        </w:rPr>
        <w:t>Jeśli przedsiębiorstwo zautomatyzuje linię produkcyjną, jego poziom kosztów stałych wzrośnie a kosztów zmiennych zmaleje.</w:t>
      </w:r>
    </w:p>
    <w:p w:rsidR="00566DD8" w:rsidRPr="00E93722" w:rsidRDefault="00566DD8" w:rsidP="00E93722">
      <w:pPr>
        <w:pStyle w:val="NormalWeb"/>
        <w:spacing w:before="0" w:beforeAutospacing="0" w:after="0" w:afterAutospacing="0"/>
        <w:jc w:val="both"/>
        <w:rPr>
          <w:color w:val="000000"/>
          <w:sz w:val="22"/>
          <w:szCs w:val="22"/>
        </w:rPr>
      </w:pPr>
      <w:r w:rsidRPr="00E93722">
        <w:rPr>
          <w:color w:val="000000"/>
          <w:sz w:val="22"/>
          <w:szCs w:val="22"/>
        </w:rPr>
        <w:t>W związku z tym, stopień dźwigni operacyjnej wzrośnie.</w:t>
      </w:r>
    </w:p>
    <w:p w:rsidR="00566DD8" w:rsidRPr="00E93722" w:rsidRDefault="00566DD8" w:rsidP="00E93722">
      <w:pPr>
        <w:pStyle w:val="NormalWeb"/>
        <w:spacing w:before="0" w:beforeAutospacing="0" w:after="0" w:afterAutospacing="0"/>
        <w:jc w:val="both"/>
        <w:rPr>
          <w:sz w:val="22"/>
          <w:szCs w:val="22"/>
        </w:rPr>
      </w:pPr>
    </w:p>
    <w:p w:rsidR="00566DD8" w:rsidRPr="00E93722" w:rsidRDefault="00566DD8" w:rsidP="00E93722">
      <w:pPr>
        <w:pStyle w:val="NormalWeb"/>
        <w:spacing w:before="0" w:beforeAutospacing="0" w:after="0" w:afterAutospacing="0"/>
        <w:ind w:hanging="283"/>
        <w:jc w:val="both"/>
        <w:rPr>
          <w:sz w:val="22"/>
          <w:szCs w:val="22"/>
        </w:rPr>
      </w:pPr>
      <w:r w:rsidRPr="00E93722">
        <w:rPr>
          <w:color w:val="000000"/>
          <w:sz w:val="22"/>
          <w:szCs w:val="22"/>
        </w:rPr>
        <w:t>Zad.2</w:t>
      </w:r>
      <w:r w:rsidR="009207A6" w:rsidRPr="00E93722">
        <w:rPr>
          <w:color w:val="000000"/>
          <w:sz w:val="22"/>
          <w:szCs w:val="22"/>
        </w:rPr>
        <w:t>7</w:t>
      </w:r>
      <w:r w:rsidRPr="00E93722">
        <w:rPr>
          <w:color w:val="000000"/>
          <w:sz w:val="22"/>
          <w:szCs w:val="22"/>
        </w:rPr>
        <w:t>.  Jeśli wskaźnik beta aktywów, firmy korzystającej z dźwigni finansowej, jest używany w formule CAPM (rj=rf+βj(rm-rf)) co reprezentuje rj?</w:t>
      </w:r>
    </w:p>
    <w:p w:rsidR="00566DD8" w:rsidRPr="00E93722" w:rsidRDefault="00566DD8" w:rsidP="00E93722">
      <w:pPr>
        <w:pStyle w:val="NormalWeb"/>
        <w:spacing w:before="0" w:beforeAutospacing="0" w:after="0" w:afterAutospacing="0"/>
        <w:ind w:left="283" w:hanging="283"/>
        <w:jc w:val="both"/>
        <w:rPr>
          <w:sz w:val="22"/>
          <w:szCs w:val="22"/>
        </w:rPr>
      </w:pPr>
      <w:r w:rsidRPr="00E93722">
        <w:rPr>
          <w:color w:val="000000"/>
          <w:sz w:val="22"/>
          <w:szCs w:val="22"/>
        </w:rPr>
        <w:t>A.    WACC firmy</w:t>
      </w:r>
    </w:p>
    <w:p w:rsidR="00566DD8" w:rsidRPr="00E93722" w:rsidRDefault="00566DD8" w:rsidP="00E93722">
      <w:pPr>
        <w:pStyle w:val="NormalWeb"/>
        <w:spacing w:before="0" w:beforeAutospacing="0" w:after="0" w:afterAutospacing="0"/>
        <w:ind w:left="283" w:hanging="283"/>
        <w:jc w:val="both"/>
        <w:rPr>
          <w:sz w:val="22"/>
          <w:szCs w:val="22"/>
        </w:rPr>
      </w:pPr>
      <w:r w:rsidRPr="00E93722">
        <w:rPr>
          <w:color w:val="000000"/>
          <w:sz w:val="22"/>
          <w:szCs w:val="22"/>
        </w:rPr>
        <w:t>B.    Koszt kapitału własnego bez użycia dźwigni finansowej</w:t>
      </w:r>
    </w:p>
    <w:p w:rsidR="00566DD8" w:rsidRPr="00E93722" w:rsidRDefault="00566DD8" w:rsidP="00E93722">
      <w:pPr>
        <w:pStyle w:val="NormalWeb"/>
        <w:spacing w:before="0" w:beforeAutospacing="0" w:after="0" w:afterAutospacing="0"/>
        <w:ind w:left="283" w:hanging="283"/>
        <w:jc w:val="both"/>
        <w:rPr>
          <w:sz w:val="22"/>
          <w:szCs w:val="22"/>
        </w:rPr>
      </w:pPr>
      <w:r w:rsidRPr="00E93722">
        <w:rPr>
          <w:color w:val="000000"/>
          <w:sz w:val="22"/>
          <w:szCs w:val="22"/>
        </w:rPr>
        <w:t>C.    Koszt kapitału własnego z użyciem dźwigni finansowej</w:t>
      </w:r>
    </w:p>
    <w:p w:rsidR="00566DD8" w:rsidRPr="00E93722" w:rsidRDefault="00566DD8" w:rsidP="00E93722">
      <w:pPr>
        <w:pStyle w:val="NormalWeb"/>
        <w:spacing w:before="0" w:beforeAutospacing="0" w:after="0" w:afterAutospacing="0"/>
        <w:ind w:left="283" w:hanging="283"/>
        <w:jc w:val="both"/>
        <w:rPr>
          <w:sz w:val="22"/>
          <w:szCs w:val="22"/>
        </w:rPr>
      </w:pPr>
      <w:r w:rsidRPr="00E93722">
        <w:rPr>
          <w:color w:val="000000"/>
          <w:sz w:val="22"/>
          <w:szCs w:val="22"/>
        </w:rPr>
        <w:t>D.    Żadne z powyższych</w:t>
      </w:r>
    </w:p>
    <w:p w:rsidR="00566DD8" w:rsidRPr="00E93722" w:rsidRDefault="00566DD8" w:rsidP="00E93722">
      <w:pPr>
        <w:pStyle w:val="NormalWeb"/>
        <w:spacing w:before="0" w:beforeAutospacing="0" w:after="0" w:afterAutospacing="0"/>
        <w:jc w:val="both"/>
        <w:rPr>
          <w:sz w:val="22"/>
          <w:szCs w:val="22"/>
        </w:rPr>
      </w:pPr>
      <w:r w:rsidRPr="00E93722">
        <w:rPr>
          <w:color w:val="000000"/>
          <w:sz w:val="22"/>
          <w:szCs w:val="22"/>
        </w:rPr>
        <w:t>Odpowiedź B.</w:t>
      </w:r>
    </w:p>
    <w:p w:rsidR="00566DD8" w:rsidRPr="00E93722" w:rsidRDefault="00566DD8" w:rsidP="00E93722">
      <w:pPr>
        <w:pStyle w:val="NormalWeb"/>
        <w:spacing w:before="0" w:beforeAutospacing="0" w:after="0" w:afterAutospacing="0"/>
        <w:jc w:val="both"/>
        <w:rPr>
          <w:color w:val="000000"/>
          <w:sz w:val="22"/>
          <w:szCs w:val="22"/>
        </w:rPr>
      </w:pPr>
      <w:r w:rsidRPr="00E93722">
        <w:rPr>
          <w:color w:val="000000"/>
          <w:sz w:val="22"/>
          <w:szCs w:val="22"/>
        </w:rPr>
        <w:t>Model CAPM może być używany w celu przewidzenia kosztu kapitału własnego. Używając bety aktywów jesteśmy w stanie przewidzieć koszt kapitału bez użycia dźwigni finansowej. Używając bety pasywów jesteśmy w stanie przewidzieć koszt kapitału własnego z użyciem dźwigni finansowej.</w:t>
      </w:r>
    </w:p>
    <w:p w:rsidR="00566DD8" w:rsidRPr="00E93722" w:rsidRDefault="00566DD8" w:rsidP="00E93722">
      <w:pPr>
        <w:pStyle w:val="NormalWeb"/>
        <w:spacing w:before="0" w:beforeAutospacing="0" w:after="0" w:afterAutospacing="0"/>
        <w:jc w:val="both"/>
        <w:rPr>
          <w:sz w:val="22"/>
          <w:szCs w:val="22"/>
        </w:rPr>
      </w:pPr>
    </w:p>
    <w:p w:rsidR="00566DD8" w:rsidRPr="00E93722" w:rsidRDefault="00566DD8" w:rsidP="00E93722">
      <w:pPr>
        <w:pStyle w:val="NormalWeb"/>
        <w:spacing w:before="0" w:beforeAutospacing="0" w:after="0" w:afterAutospacing="0"/>
        <w:ind w:hanging="283"/>
        <w:jc w:val="both"/>
        <w:rPr>
          <w:sz w:val="22"/>
          <w:szCs w:val="22"/>
        </w:rPr>
      </w:pPr>
      <w:r w:rsidRPr="00E93722">
        <w:rPr>
          <w:color w:val="000000"/>
          <w:sz w:val="22"/>
          <w:szCs w:val="22"/>
        </w:rPr>
        <w:t>Zad.2</w:t>
      </w:r>
      <w:r w:rsidR="009207A6" w:rsidRPr="00E93722">
        <w:rPr>
          <w:color w:val="000000"/>
          <w:sz w:val="22"/>
          <w:szCs w:val="22"/>
        </w:rPr>
        <w:t>8</w:t>
      </w:r>
      <w:r w:rsidRPr="00E93722">
        <w:rPr>
          <w:color w:val="000000"/>
          <w:sz w:val="22"/>
          <w:szCs w:val="22"/>
        </w:rPr>
        <w:t>. Które z poniższych NIE wpływa bezpośrednio na koszt kapitału własnego firmy?</w:t>
      </w:r>
    </w:p>
    <w:p w:rsidR="00566DD8" w:rsidRPr="00E93722" w:rsidRDefault="00566DD8" w:rsidP="00E93722">
      <w:pPr>
        <w:pStyle w:val="NormalWeb"/>
        <w:spacing w:before="0" w:beforeAutospacing="0" w:after="0" w:afterAutospacing="0"/>
        <w:ind w:left="283" w:hanging="283"/>
        <w:jc w:val="both"/>
        <w:rPr>
          <w:sz w:val="22"/>
          <w:szCs w:val="22"/>
        </w:rPr>
      </w:pPr>
      <w:r w:rsidRPr="00E93722">
        <w:rPr>
          <w:color w:val="000000"/>
          <w:sz w:val="22"/>
          <w:szCs w:val="22"/>
        </w:rPr>
        <w:t>A.    Zwrot z aktywów</w:t>
      </w:r>
    </w:p>
    <w:p w:rsidR="00566DD8" w:rsidRPr="00E93722" w:rsidRDefault="00566DD8" w:rsidP="00E93722">
      <w:pPr>
        <w:pStyle w:val="NormalWeb"/>
        <w:spacing w:before="0" w:beforeAutospacing="0" w:after="0" w:afterAutospacing="0"/>
        <w:ind w:left="283" w:hanging="283"/>
        <w:jc w:val="both"/>
        <w:rPr>
          <w:sz w:val="22"/>
          <w:szCs w:val="22"/>
        </w:rPr>
      </w:pPr>
      <w:r w:rsidRPr="00E93722">
        <w:rPr>
          <w:color w:val="000000"/>
          <w:sz w:val="22"/>
          <w:szCs w:val="22"/>
        </w:rPr>
        <w:t xml:space="preserve">B.    Oczekiwana stopa zwrotu </w:t>
      </w:r>
    </w:p>
    <w:p w:rsidR="00566DD8" w:rsidRPr="00E93722" w:rsidRDefault="00566DD8" w:rsidP="00E93722">
      <w:pPr>
        <w:pStyle w:val="NormalWeb"/>
        <w:spacing w:before="0" w:beforeAutospacing="0" w:after="0" w:afterAutospacing="0"/>
        <w:ind w:left="283" w:hanging="283"/>
        <w:jc w:val="both"/>
        <w:rPr>
          <w:sz w:val="22"/>
          <w:szCs w:val="22"/>
        </w:rPr>
      </w:pPr>
      <w:r w:rsidRPr="00E93722">
        <w:rPr>
          <w:color w:val="000000"/>
          <w:sz w:val="22"/>
          <w:szCs w:val="22"/>
        </w:rPr>
        <w:t>C.    Oczekiwana stopa zwrotu wolna od ryzyka</w:t>
      </w:r>
    </w:p>
    <w:p w:rsidR="00566DD8" w:rsidRPr="00E93722" w:rsidRDefault="00566DD8" w:rsidP="00E93722">
      <w:pPr>
        <w:pStyle w:val="NormalWeb"/>
        <w:spacing w:before="0" w:beforeAutospacing="0" w:after="0" w:afterAutospacing="0"/>
        <w:ind w:left="283" w:hanging="283"/>
        <w:jc w:val="both"/>
        <w:rPr>
          <w:sz w:val="22"/>
          <w:szCs w:val="22"/>
        </w:rPr>
      </w:pPr>
      <w:r w:rsidRPr="00E93722">
        <w:rPr>
          <w:color w:val="000000"/>
          <w:sz w:val="22"/>
          <w:szCs w:val="22"/>
        </w:rPr>
        <w:t>D.    Beta firmy</w:t>
      </w:r>
    </w:p>
    <w:p w:rsidR="00566DD8" w:rsidRPr="00E93722" w:rsidRDefault="00566DD8" w:rsidP="00E93722">
      <w:pPr>
        <w:pStyle w:val="NormalWeb"/>
        <w:spacing w:before="0" w:beforeAutospacing="0" w:after="0" w:afterAutospacing="0"/>
        <w:jc w:val="both"/>
        <w:rPr>
          <w:sz w:val="22"/>
          <w:szCs w:val="22"/>
        </w:rPr>
      </w:pPr>
      <w:r w:rsidRPr="00E93722">
        <w:rPr>
          <w:color w:val="000000"/>
          <w:sz w:val="22"/>
          <w:szCs w:val="22"/>
        </w:rPr>
        <w:t xml:space="preserve">Odpowiedź A. </w:t>
      </w:r>
    </w:p>
    <w:p w:rsidR="009207A6" w:rsidRPr="00CD63F5" w:rsidRDefault="00566DD8" w:rsidP="00E93722">
      <w:pPr>
        <w:pStyle w:val="NormalWeb"/>
        <w:spacing w:before="0" w:beforeAutospacing="0" w:after="0" w:afterAutospacing="0"/>
        <w:jc w:val="both"/>
        <w:rPr>
          <w:color w:val="000000"/>
          <w:sz w:val="22"/>
          <w:szCs w:val="22"/>
        </w:rPr>
      </w:pPr>
      <w:r w:rsidRPr="00E93722">
        <w:rPr>
          <w:color w:val="000000"/>
          <w:sz w:val="22"/>
          <w:szCs w:val="22"/>
        </w:rPr>
        <w:t>Równanie prezentujące oczekiwany zwrot z kapitału to: ke = stopa zwrotu bez ryzyka + beta x (stopa zwrotu z rynku – stopa zwrotu bez ryzyka)</w:t>
      </w:r>
    </w:p>
    <w:p w:rsidR="009207A6" w:rsidRPr="00E93722" w:rsidRDefault="009207A6" w:rsidP="00E93722">
      <w:pPr>
        <w:pStyle w:val="NormalWeb"/>
        <w:spacing w:before="0" w:beforeAutospacing="0" w:after="0" w:afterAutospacing="0"/>
        <w:jc w:val="both"/>
        <w:rPr>
          <w:sz w:val="22"/>
          <w:szCs w:val="22"/>
        </w:rPr>
      </w:pPr>
    </w:p>
    <w:p w:rsidR="00566DD8" w:rsidRPr="00E93722" w:rsidRDefault="00566DD8" w:rsidP="00E93722">
      <w:pPr>
        <w:pStyle w:val="NormalWeb"/>
        <w:spacing w:before="0" w:beforeAutospacing="0" w:after="0" w:afterAutospacing="0"/>
        <w:ind w:hanging="283"/>
        <w:jc w:val="both"/>
        <w:rPr>
          <w:sz w:val="22"/>
          <w:szCs w:val="22"/>
        </w:rPr>
      </w:pPr>
      <w:r w:rsidRPr="00E93722">
        <w:rPr>
          <w:color w:val="000000"/>
          <w:sz w:val="22"/>
          <w:szCs w:val="22"/>
        </w:rPr>
        <w:t>Zad.</w:t>
      </w:r>
      <w:r w:rsidR="009207A6" w:rsidRPr="00E93722">
        <w:rPr>
          <w:color w:val="000000"/>
          <w:sz w:val="22"/>
          <w:szCs w:val="22"/>
        </w:rPr>
        <w:t>29</w:t>
      </w:r>
      <w:r w:rsidRPr="00E93722">
        <w:rPr>
          <w:color w:val="000000"/>
          <w:sz w:val="22"/>
          <w:szCs w:val="22"/>
        </w:rPr>
        <w:t>. Który z poniższych wskaźników jest używany do mierzenia płynności firmy?</w:t>
      </w:r>
    </w:p>
    <w:p w:rsidR="00566DD8" w:rsidRPr="00E93722" w:rsidRDefault="00566DD8" w:rsidP="00E93722">
      <w:pPr>
        <w:pStyle w:val="NormalWeb"/>
        <w:spacing w:before="0" w:beforeAutospacing="0" w:after="0" w:afterAutospacing="0"/>
        <w:ind w:left="283" w:hanging="283"/>
        <w:jc w:val="both"/>
        <w:rPr>
          <w:sz w:val="22"/>
          <w:szCs w:val="22"/>
        </w:rPr>
      </w:pPr>
      <w:r w:rsidRPr="00E93722">
        <w:rPr>
          <w:color w:val="000000"/>
          <w:sz w:val="22"/>
          <w:szCs w:val="22"/>
        </w:rPr>
        <w:t>A.    Wskaźnik bieżącej płynności</w:t>
      </w:r>
    </w:p>
    <w:p w:rsidR="00566DD8" w:rsidRPr="00E93722" w:rsidRDefault="00566DD8" w:rsidP="00E93722">
      <w:pPr>
        <w:pStyle w:val="NormalWeb"/>
        <w:spacing w:before="0" w:beforeAutospacing="0" w:after="0" w:afterAutospacing="0"/>
        <w:ind w:left="283" w:hanging="283"/>
        <w:jc w:val="both"/>
        <w:rPr>
          <w:sz w:val="22"/>
          <w:szCs w:val="22"/>
        </w:rPr>
      </w:pPr>
      <w:r w:rsidRPr="00E93722">
        <w:rPr>
          <w:color w:val="000000"/>
          <w:sz w:val="22"/>
          <w:szCs w:val="22"/>
        </w:rPr>
        <w:t>B.    Wskaźnik pokrycia odsetek</w:t>
      </w:r>
    </w:p>
    <w:p w:rsidR="00566DD8" w:rsidRPr="00E93722" w:rsidRDefault="00566DD8" w:rsidP="00E93722">
      <w:pPr>
        <w:pStyle w:val="NormalWeb"/>
        <w:spacing w:before="0" w:beforeAutospacing="0" w:after="0" w:afterAutospacing="0"/>
        <w:ind w:left="283" w:hanging="283"/>
        <w:jc w:val="both"/>
        <w:rPr>
          <w:sz w:val="22"/>
          <w:szCs w:val="22"/>
        </w:rPr>
      </w:pPr>
      <w:r w:rsidRPr="00E93722">
        <w:rPr>
          <w:color w:val="000000"/>
          <w:sz w:val="22"/>
          <w:szCs w:val="22"/>
        </w:rPr>
        <w:t>C.    Marża z zysku brutto</w:t>
      </w:r>
    </w:p>
    <w:p w:rsidR="00566DD8" w:rsidRPr="00E93722" w:rsidRDefault="00566DD8" w:rsidP="00E93722">
      <w:pPr>
        <w:pStyle w:val="NormalWeb"/>
        <w:spacing w:before="0" w:beforeAutospacing="0" w:after="0" w:afterAutospacing="0"/>
        <w:ind w:left="283" w:hanging="283"/>
        <w:jc w:val="both"/>
        <w:rPr>
          <w:sz w:val="22"/>
          <w:szCs w:val="22"/>
        </w:rPr>
      </w:pPr>
      <w:r w:rsidRPr="00E93722">
        <w:rPr>
          <w:color w:val="000000"/>
          <w:sz w:val="22"/>
          <w:szCs w:val="22"/>
        </w:rPr>
        <w:t>D.    Zwrot z zaangażowanego kapitału</w:t>
      </w:r>
    </w:p>
    <w:p w:rsidR="00566DD8" w:rsidRPr="00E93722" w:rsidRDefault="00566DD8" w:rsidP="00E93722">
      <w:pPr>
        <w:pStyle w:val="NormalWeb"/>
        <w:spacing w:before="0" w:beforeAutospacing="0" w:after="0" w:afterAutospacing="0"/>
        <w:jc w:val="both"/>
        <w:rPr>
          <w:sz w:val="22"/>
          <w:szCs w:val="22"/>
        </w:rPr>
      </w:pPr>
      <w:r w:rsidRPr="00E93722">
        <w:rPr>
          <w:color w:val="000000"/>
          <w:sz w:val="22"/>
          <w:szCs w:val="22"/>
        </w:rPr>
        <w:t>Odpowiedź A.</w:t>
      </w:r>
    </w:p>
    <w:p w:rsidR="00566DD8" w:rsidRPr="00E93722" w:rsidRDefault="00566DD8" w:rsidP="00E93722">
      <w:pPr>
        <w:pStyle w:val="NormalWeb"/>
        <w:spacing w:before="0" w:beforeAutospacing="0" w:after="0" w:afterAutospacing="0"/>
        <w:jc w:val="both"/>
        <w:rPr>
          <w:color w:val="000000"/>
          <w:sz w:val="22"/>
          <w:szCs w:val="22"/>
        </w:rPr>
      </w:pPr>
      <w:r w:rsidRPr="00E93722">
        <w:rPr>
          <w:color w:val="000000"/>
          <w:sz w:val="22"/>
          <w:szCs w:val="22"/>
        </w:rPr>
        <w:t>Wskaźnik pokrycia odsetek mierzy ryzyko finansowe przedsiębiorstwa, marża z zysku brutto mierzy rentowność operacyjną, a zwrot z zaangażowanego kapitału mierzy jak efektywnie przedsiębiorstwo wykorzystuje dostępne środki.</w:t>
      </w:r>
    </w:p>
    <w:p w:rsidR="00566DD8" w:rsidRDefault="00566DD8" w:rsidP="00E93722">
      <w:pPr>
        <w:pStyle w:val="NormalWeb"/>
        <w:spacing w:before="0" w:beforeAutospacing="0" w:after="0" w:afterAutospacing="0"/>
        <w:jc w:val="both"/>
        <w:rPr>
          <w:sz w:val="22"/>
          <w:szCs w:val="22"/>
        </w:rPr>
      </w:pPr>
    </w:p>
    <w:p w:rsidR="00CD63F5" w:rsidRDefault="00CD63F5" w:rsidP="00E93722">
      <w:pPr>
        <w:pStyle w:val="NormalWeb"/>
        <w:spacing w:before="0" w:beforeAutospacing="0" w:after="0" w:afterAutospacing="0"/>
        <w:jc w:val="both"/>
        <w:rPr>
          <w:sz w:val="22"/>
          <w:szCs w:val="22"/>
        </w:rPr>
      </w:pPr>
    </w:p>
    <w:p w:rsidR="00CD63F5" w:rsidRDefault="00CD63F5" w:rsidP="00E93722">
      <w:pPr>
        <w:pStyle w:val="NormalWeb"/>
        <w:spacing w:before="0" w:beforeAutospacing="0" w:after="0" w:afterAutospacing="0"/>
        <w:jc w:val="both"/>
        <w:rPr>
          <w:sz w:val="22"/>
          <w:szCs w:val="22"/>
        </w:rPr>
      </w:pPr>
    </w:p>
    <w:p w:rsidR="00CD63F5" w:rsidRDefault="00CD63F5" w:rsidP="00E93722">
      <w:pPr>
        <w:pStyle w:val="NormalWeb"/>
        <w:spacing w:before="0" w:beforeAutospacing="0" w:after="0" w:afterAutospacing="0"/>
        <w:jc w:val="both"/>
        <w:rPr>
          <w:sz w:val="22"/>
          <w:szCs w:val="22"/>
        </w:rPr>
      </w:pPr>
    </w:p>
    <w:p w:rsidR="00CD63F5" w:rsidRDefault="00CD63F5" w:rsidP="00E93722">
      <w:pPr>
        <w:pStyle w:val="NormalWeb"/>
        <w:spacing w:before="0" w:beforeAutospacing="0" w:after="0" w:afterAutospacing="0"/>
        <w:jc w:val="both"/>
        <w:rPr>
          <w:sz w:val="22"/>
          <w:szCs w:val="22"/>
        </w:rPr>
      </w:pPr>
    </w:p>
    <w:p w:rsidR="00CD63F5" w:rsidRDefault="00CD63F5" w:rsidP="00E93722">
      <w:pPr>
        <w:pStyle w:val="NormalWeb"/>
        <w:spacing w:before="0" w:beforeAutospacing="0" w:after="0" w:afterAutospacing="0"/>
        <w:jc w:val="both"/>
        <w:rPr>
          <w:sz w:val="22"/>
          <w:szCs w:val="22"/>
        </w:rPr>
      </w:pPr>
    </w:p>
    <w:p w:rsidR="00CD63F5" w:rsidRPr="00E93722" w:rsidRDefault="00CD63F5" w:rsidP="00E93722">
      <w:pPr>
        <w:pStyle w:val="NormalWeb"/>
        <w:spacing w:before="0" w:beforeAutospacing="0" w:after="0" w:afterAutospacing="0"/>
        <w:jc w:val="both"/>
        <w:rPr>
          <w:sz w:val="22"/>
          <w:szCs w:val="22"/>
        </w:rPr>
      </w:pPr>
    </w:p>
    <w:p w:rsidR="00566DD8" w:rsidRPr="00E93722" w:rsidRDefault="00566DD8" w:rsidP="00E93722">
      <w:pPr>
        <w:pStyle w:val="NormalWeb"/>
        <w:spacing w:before="0" w:beforeAutospacing="0" w:after="0" w:afterAutospacing="0"/>
        <w:ind w:hanging="283"/>
        <w:jc w:val="both"/>
        <w:rPr>
          <w:sz w:val="22"/>
          <w:szCs w:val="22"/>
        </w:rPr>
      </w:pPr>
      <w:r w:rsidRPr="00E93722">
        <w:rPr>
          <w:color w:val="000000"/>
          <w:sz w:val="22"/>
          <w:szCs w:val="22"/>
        </w:rPr>
        <w:lastRenderedPageBreak/>
        <w:t>Zad.3</w:t>
      </w:r>
      <w:r w:rsidR="009207A6" w:rsidRPr="00E93722">
        <w:rPr>
          <w:color w:val="000000"/>
          <w:sz w:val="22"/>
          <w:szCs w:val="22"/>
        </w:rPr>
        <w:t>0</w:t>
      </w:r>
      <w:r w:rsidRPr="00E93722">
        <w:rPr>
          <w:color w:val="000000"/>
          <w:sz w:val="22"/>
          <w:szCs w:val="22"/>
        </w:rPr>
        <w:t>. Analityk zebrał następujące informacje o firmie:</w:t>
      </w:r>
    </w:p>
    <w:p w:rsidR="00566DD8" w:rsidRPr="00E93722" w:rsidRDefault="00566DD8" w:rsidP="00E93722">
      <w:pPr>
        <w:pStyle w:val="NormalWeb"/>
        <w:spacing w:before="0" w:beforeAutospacing="0" w:after="0" w:afterAutospacing="0"/>
        <w:jc w:val="both"/>
        <w:rPr>
          <w:sz w:val="22"/>
          <w:szCs w:val="22"/>
        </w:rPr>
      </w:pPr>
      <w:r w:rsidRPr="00E93722">
        <w:rPr>
          <w:color w:val="000000"/>
          <w:sz w:val="22"/>
          <w:szCs w:val="22"/>
        </w:rPr>
        <w:t xml:space="preserve">                </w:t>
      </w:r>
      <w:r w:rsidRPr="00E93722">
        <w:rPr>
          <w:color w:val="000000"/>
          <w:sz w:val="22"/>
          <w:szCs w:val="22"/>
        </w:rPr>
        <w:tab/>
      </w:r>
      <w:r w:rsidRPr="00E93722">
        <w:rPr>
          <w:color w:val="000000"/>
          <w:sz w:val="22"/>
          <w:szCs w:val="22"/>
        </w:rPr>
        <w:tab/>
      </w:r>
      <w:r w:rsidRPr="00E93722">
        <w:rPr>
          <w:color w:val="000000"/>
          <w:sz w:val="22"/>
          <w:szCs w:val="22"/>
        </w:rPr>
        <w:tab/>
        <w:t>            $</w:t>
      </w:r>
    </w:p>
    <w:p w:rsidR="00566DD8" w:rsidRPr="00E93722" w:rsidRDefault="00566DD8" w:rsidP="00E93722">
      <w:pPr>
        <w:pStyle w:val="NormalWeb"/>
        <w:spacing w:before="0" w:beforeAutospacing="0" w:after="0" w:afterAutospacing="0"/>
        <w:jc w:val="both"/>
        <w:rPr>
          <w:sz w:val="22"/>
          <w:szCs w:val="22"/>
        </w:rPr>
      </w:pPr>
      <w:r w:rsidRPr="00E93722">
        <w:rPr>
          <w:color w:val="000000"/>
          <w:sz w:val="22"/>
          <w:szCs w:val="22"/>
        </w:rPr>
        <w:t>Zobowiązania krótkoterminowe                300</w:t>
      </w:r>
    </w:p>
    <w:p w:rsidR="00566DD8" w:rsidRPr="00E93722" w:rsidRDefault="00566DD8" w:rsidP="00E93722">
      <w:pPr>
        <w:pStyle w:val="NormalWeb"/>
        <w:spacing w:before="0" w:beforeAutospacing="0" w:after="0" w:afterAutospacing="0"/>
        <w:jc w:val="both"/>
        <w:rPr>
          <w:sz w:val="22"/>
          <w:szCs w:val="22"/>
        </w:rPr>
      </w:pPr>
      <w:r w:rsidRPr="00E93722">
        <w:rPr>
          <w:color w:val="000000"/>
          <w:sz w:val="22"/>
          <w:szCs w:val="22"/>
        </w:rPr>
        <w:t xml:space="preserve">Całkowity dług            </w:t>
      </w:r>
      <w:r w:rsidR="00443DE9">
        <w:rPr>
          <w:color w:val="000000"/>
          <w:sz w:val="22"/>
          <w:szCs w:val="22"/>
        </w:rPr>
        <w:t xml:space="preserve">                  </w:t>
      </w:r>
      <w:r w:rsidRPr="00E93722">
        <w:rPr>
          <w:color w:val="000000"/>
          <w:sz w:val="22"/>
          <w:szCs w:val="22"/>
        </w:rPr>
        <w:t>            900</w:t>
      </w:r>
    </w:p>
    <w:p w:rsidR="00566DD8" w:rsidRPr="00E93722" w:rsidRDefault="00566DD8" w:rsidP="00E93722">
      <w:pPr>
        <w:pStyle w:val="NormalWeb"/>
        <w:spacing w:before="0" w:beforeAutospacing="0" w:after="0" w:afterAutospacing="0"/>
        <w:jc w:val="both"/>
        <w:rPr>
          <w:sz w:val="22"/>
          <w:szCs w:val="22"/>
        </w:rPr>
      </w:pPr>
      <w:r w:rsidRPr="00E93722">
        <w:rPr>
          <w:color w:val="000000"/>
          <w:sz w:val="22"/>
          <w:szCs w:val="22"/>
        </w:rPr>
        <w:t>Kapitał obrotowy </w:t>
      </w:r>
      <w:r w:rsidR="00443DE9">
        <w:rPr>
          <w:color w:val="000000"/>
          <w:sz w:val="22"/>
          <w:szCs w:val="22"/>
        </w:rPr>
        <w:t>netto</w:t>
      </w:r>
      <w:r w:rsidRPr="00E93722">
        <w:rPr>
          <w:color w:val="000000"/>
          <w:sz w:val="22"/>
          <w:szCs w:val="22"/>
        </w:rPr>
        <w:t xml:space="preserve">             </w:t>
      </w:r>
      <w:r w:rsidR="00443DE9">
        <w:rPr>
          <w:color w:val="000000"/>
          <w:sz w:val="22"/>
          <w:szCs w:val="22"/>
        </w:rPr>
        <w:t xml:space="preserve">                 </w:t>
      </w:r>
      <w:r w:rsidR="005B5C51">
        <w:rPr>
          <w:color w:val="000000"/>
          <w:sz w:val="22"/>
          <w:szCs w:val="22"/>
        </w:rPr>
        <w:t>2</w:t>
      </w:r>
      <w:r w:rsidRPr="00E93722">
        <w:rPr>
          <w:color w:val="000000"/>
          <w:sz w:val="22"/>
          <w:szCs w:val="22"/>
        </w:rPr>
        <w:t>00</w:t>
      </w:r>
    </w:p>
    <w:p w:rsidR="00566DD8" w:rsidRPr="00E93722" w:rsidRDefault="00566DD8" w:rsidP="00E93722">
      <w:pPr>
        <w:pStyle w:val="NormalWeb"/>
        <w:spacing w:before="0" w:beforeAutospacing="0" w:after="0" w:afterAutospacing="0"/>
        <w:jc w:val="both"/>
        <w:rPr>
          <w:sz w:val="22"/>
          <w:szCs w:val="22"/>
        </w:rPr>
      </w:pPr>
      <w:r w:rsidRPr="00E93722">
        <w:rPr>
          <w:color w:val="000000"/>
          <w:sz w:val="22"/>
          <w:szCs w:val="22"/>
        </w:rPr>
        <w:t>Aktywa ogółem                       </w:t>
      </w:r>
      <w:r w:rsidR="00443DE9">
        <w:rPr>
          <w:color w:val="000000"/>
          <w:sz w:val="22"/>
          <w:szCs w:val="22"/>
        </w:rPr>
        <w:t xml:space="preserve">                </w:t>
      </w:r>
      <w:r w:rsidRPr="00E93722">
        <w:rPr>
          <w:color w:val="000000"/>
          <w:sz w:val="22"/>
          <w:szCs w:val="22"/>
        </w:rPr>
        <w:t xml:space="preserve"> 2000</w:t>
      </w:r>
    </w:p>
    <w:p w:rsidR="00566DD8" w:rsidRPr="00E93722" w:rsidRDefault="00566DD8" w:rsidP="00E93722">
      <w:pPr>
        <w:pStyle w:val="NormalWeb"/>
        <w:spacing w:before="0" w:beforeAutospacing="0" w:after="0" w:afterAutospacing="0"/>
        <w:jc w:val="both"/>
        <w:rPr>
          <w:sz w:val="22"/>
          <w:szCs w:val="22"/>
        </w:rPr>
      </w:pPr>
      <w:r w:rsidRPr="00E93722">
        <w:rPr>
          <w:color w:val="000000"/>
          <w:sz w:val="22"/>
          <w:szCs w:val="22"/>
        </w:rPr>
        <w:t>Przepływy pieniężne z działalności operacyjnej        400</w:t>
      </w:r>
    </w:p>
    <w:p w:rsidR="00566DD8" w:rsidRPr="00E93722" w:rsidRDefault="00566DD8" w:rsidP="00E93722">
      <w:pPr>
        <w:pStyle w:val="NormalWeb"/>
        <w:spacing w:before="0" w:beforeAutospacing="0" w:after="0" w:afterAutospacing="0"/>
        <w:jc w:val="both"/>
        <w:rPr>
          <w:color w:val="000000"/>
          <w:sz w:val="22"/>
          <w:szCs w:val="22"/>
        </w:rPr>
      </w:pPr>
      <w:r w:rsidRPr="00E93722">
        <w:rPr>
          <w:color w:val="000000"/>
          <w:sz w:val="22"/>
          <w:szCs w:val="22"/>
        </w:rPr>
        <w:t>Wypełnij luki w następujących zdaniach: Jeśli przedsiębiorstwo chciałoby uzyskać wskaźnik bieżącej płynności na poziomie 2, mogłoby ……. wartość aktywów obrotowych o 100 lub ……. zobowiązania krótkoterminowe o 50.</w:t>
      </w:r>
    </w:p>
    <w:p w:rsidR="009207A6" w:rsidRPr="00E93722" w:rsidRDefault="009207A6" w:rsidP="00E93722">
      <w:pPr>
        <w:pStyle w:val="NormalWeb"/>
        <w:spacing w:before="0" w:beforeAutospacing="0" w:after="0" w:afterAutospacing="0"/>
        <w:jc w:val="both"/>
        <w:rPr>
          <w:sz w:val="22"/>
          <w:szCs w:val="22"/>
        </w:rPr>
      </w:pPr>
    </w:p>
    <w:p w:rsidR="00566DD8" w:rsidRPr="00E93722" w:rsidRDefault="00566DD8" w:rsidP="00E93722">
      <w:pPr>
        <w:pStyle w:val="NormalWeb"/>
        <w:spacing w:before="0" w:beforeAutospacing="0" w:after="0" w:afterAutospacing="0"/>
        <w:jc w:val="both"/>
        <w:rPr>
          <w:color w:val="000000"/>
          <w:sz w:val="22"/>
          <w:szCs w:val="22"/>
        </w:rPr>
      </w:pPr>
      <w:r w:rsidRPr="00E93722">
        <w:rPr>
          <w:color w:val="000000"/>
          <w:sz w:val="22"/>
          <w:szCs w:val="22"/>
        </w:rPr>
        <w:t>Wybierz między: zwiększyć, zmniejszyć</w:t>
      </w:r>
    </w:p>
    <w:p w:rsidR="009207A6" w:rsidRPr="00E93722" w:rsidRDefault="009207A6" w:rsidP="00E93722">
      <w:pPr>
        <w:pStyle w:val="NormalWeb"/>
        <w:spacing w:before="0" w:beforeAutospacing="0" w:after="0" w:afterAutospacing="0"/>
        <w:jc w:val="both"/>
        <w:rPr>
          <w:sz w:val="22"/>
          <w:szCs w:val="22"/>
        </w:rPr>
      </w:pPr>
    </w:p>
    <w:p w:rsidR="00566DD8" w:rsidRPr="00E93722" w:rsidRDefault="00566DD8" w:rsidP="00E93722">
      <w:pPr>
        <w:pStyle w:val="NormalWeb"/>
        <w:spacing w:before="0" w:beforeAutospacing="0" w:after="0" w:afterAutospacing="0"/>
        <w:jc w:val="both"/>
        <w:rPr>
          <w:sz w:val="22"/>
          <w:szCs w:val="22"/>
        </w:rPr>
      </w:pPr>
      <w:r w:rsidRPr="00E93722">
        <w:rPr>
          <w:color w:val="000000"/>
          <w:sz w:val="22"/>
          <w:szCs w:val="22"/>
        </w:rPr>
        <w:t>Odpowiedź: Jeśli przedsiębiorstwo chciałoby uzyskać wskaźnik bieżącej płynności na poziomie 2, mogłoby zwiększyć wartość aktywów obrotowych o 100 lub zmniejszyć zobowiązania krótkoterminowe o 50.</w:t>
      </w:r>
    </w:p>
    <w:p w:rsidR="00566DD8" w:rsidRPr="00E93722" w:rsidRDefault="00566DD8" w:rsidP="00E93722">
      <w:pPr>
        <w:pStyle w:val="NormalWeb"/>
        <w:spacing w:before="0" w:beforeAutospacing="0" w:after="0" w:afterAutospacing="0"/>
        <w:jc w:val="both"/>
        <w:rPr>
          <w:color w:val="000000"/>
          <w:sz w:val="22"/>
          <w:szCs w:val="22"/>
        </w:rPr>
      </w:pPr>
      <w:r w:rsidRPr="00E93722">
        <w:rPr>
          <w:color w:val="000000"/>
          <w:sz w:val="22"/>
          <w:szCs w:val="22"/>
        </w:rPr>
        <w:t>Do uzyskania wskaźnika bieżącej płynności na poziomie 2, wartość aktywów obrotowych musiałaby zwiększyć się do 600$ (lub wzrosnąć o 100$), lub zobowiązania krótkoterminowe powinny spaść do 250$ (lub zmniejszyć się o 50$). Pamiętaj, że Aktywa obrotowe – Zobowiązania krótkoterminowe = Kapitał obrotowy (500 - 300 = 200).</w:t>
      </w:r>
    </w:p>
    <w:p w:rsidR="00566DD8" w:rsidRPr="00E93722" w:rsidRDefault="00566DD8" w:rsidP="00E93722">
      <w:pPr>
        <w:pStyle w:val="NormalWeb"/>
        <w:spacing w:before="0" w:beforeAutospacing="0" w:after="0" w:afterAutospacing="0"/>
        <w:jc w:val="both"/>
        <w:rPr>
          <w:sz w:val="22"/>
          <w:szCs w:val="22"/>
        </w:rPr>
      </w:pPr>
    </w:p>
    <w:p w:rsidR="00566DD8" w:rsidRPr="00E93722" w:rsidRDefault="00566DD8" w:rsidP="00E93722">
      <w:pPr>
        <w:pStyle w:val="NormalWeb"/>
        <w:spacing w:before="0" w:beforeAutospacing="0" w:after="0" w:afterAutospacing="0"/>
        <w:ind w:hanging="283"/>
        <w:jc w:val="both"/>
        <w:rPr>
          <w:sz w:val="22"/>
          <w:szCs w:val="22"/>
        </w:rPr>
      </w:pPr>
      <w:r w:rsidRPr="00E93722">
        <w:rPr>
          <w:color w:val="000000"/>
          <w:sz w:val="22"/>
          <w:szCs w:val="22"/>
        </w:rPr>
        <w:t>Zad.3</w:t>
      </w:r>
      <w:r w:rsidR="009207A6" w:rsidRPr="00E93722">
        <w:rPr>
          <w:color w:val="000000"/>
          <w:sz w:val="22"/>
          <w:szCs w:val="22"/>
        </w:rPr>
        <w:t>1</w:t>
      </w:r>
      <w:r w:rsidRPr="00E93722">
        <w:rPr>
          <w:color w:val="000000"/>
          <w:sz w:val="22"/>
          <w:szCs w:val="22"/>
        </w:rPr>
        <w:t xml:space="preserve">.  Uznając akcje uprzywilejowane </w:t>
      </w:r>
      <w:r w:rsidR="007656A9">
        <w:rPr>
          <w:color w:val="000000"/>
          <w:sz w:val="22"/>
          <w:szCs w:val="22"/>
        </w:rPr>
        <w:t>za</w:t>
      </w:r>
      <w:r w:rsidRPr="00E93722">
        <w:rPr>
          <w:color w:val="000000"/>
          <w:sz w:val="22"/>
          <w:szCs w:val="22"/>
        </w:rPr>
        <w:t xml:space="preserve"> źródło kapitału dla spółki, uzupełnij luki w poniższym zdaniu.</w:t>
      </w:r>
    </w:p>
    <w:p w:rsidR="00566DD8" w:rsidRPr="00E93722" w:rsidRDefault="00566DD8" w:rsidP="00E93722">
      <w:pPr>
        <w:pStyle w:val="NormalWeb"/>
        <w:spacing w:before="0" w:beforeAutospacing="0" w:after="0" w:afterAutospacing="0"/>
        <w:ind w:left="283"/>
        <w:jc w:val="both"/>
        <w:rPr>
          <w:sz w:val="22"/>
          <w:szCs w:val="22"/>
        </w:rPr>
      </w:pPr>
      <w:r w:rsidRPr="00E93722">
        <w:rPr>
          <w:color w:val="000000"/>
          <w:sz w:val="22"/>
          <w:szCs w:val="22"/>
        </w:rPr>
        <w:t>Akcje uprzywilejowane są formą …., który jest…. ryzykowny od zwykłych akcji.</w:t>
      </w:r>
    </w:p>
    <w:p w:rsidR="00566DD8" w:rsidRPr="00E93722" w:rsidRDefault="00566DD8" w:rsidP="00E93722">
      <w:pPr>
        <w:pStyle w:val="NormalWeb"/>
        <w:spacing w:before="0" w:beforeAutospacing="0" w:after="0" w:afterAutospacing="0"/>
        <w:ind w:left="283"/>
        <w:jc w:val="both"/>
        <w:rPr>
          <w:sz w:val="22"/>
          <w:szCs w:val="22"/>
        </w:rPr>
      </w:pPr>
      <w:r w:rsidRPr="00E93722">
        <w:rPr>
          <w:color w:val="000000"/>
          <w:sz w:val="22"/>
          <w:szCs w:val="22"/>
        </w:rPr>
        <w:t>Wybierz z poniższych:</w:t>
      </w:r>
    </w:p>
    <w:p w:rsidR="00566DD8" w:rsidRPr="00E93722" w:rsidRDefault="00566DD8" w:rsidP="00E93722">
      <w:pPr>
        <w:pStyle w:val="NormalWeb"/>
        <w:spacing w:before="0" w:beforeAutospacing="0" w:after="0" w:afterAutospacing="0"/>
        <w:ind w:left="283" w:hanging="283"/>
        <w:jc w:val="both"/>
        <w:rPr>
          <w:sz w:val="22"/>
          <w:szCs w:val="22"/>
        </w:rPr>
      </w:pPr>
      <w:r w:rsidRPr="00E93722">
        <w:rPr>
          <w:color w:val="000000"/>
          <w:sz w:val="22"/>
          <w:szCs w:val="22"/>
        </w:rPr>
        <w:t>kapitału własnego</w:t>
      </w:r>
    </w:p>
    <w:p w:rsidR="00566DD8" w:rsidRPr="00E93722" w:rsidRDefault="00566DD8" w:rsidP="00E93722">
      <w:pPr>
        <w:pStyle w:val="NormalWeb"/>
        <w:spacing w:before="0" w:beforeAutospacing="0" w:after="0" w:afterAutospacing="0"/>
        <w:ind w:left="283" w:hanging="283"/>
        <w:jc w:val="both"/>
        <w:rPr>
          <w:sz w:val="22"/>
          <w:szCs w:val="22"/>
        </w:rPr>
      </w:pPr>
      <w:r w:rsidRPr="00E93722">
        <w:rPr>
          <w:color w:val="000000"/>
          <w:sz w:val="22"/>
          <w:szCs w:val="22"/>
        </w:rPr>
        <w:t>kapitału obcego</w:t>
      </w:r>
    </w:p>
    <w:p w:rsidR="00566DD8" w:rsidRPr="00E93722" w:rsidRDefault="00566DD8" w:rsidP="00E93722">
      <w:pPr>
        <w:pStyle w:val="NormalWeb"/>
        <w:spacing w:before="0" w:beforeAutospacing="0" w:after="0" w:afterAutospacing="0"/>
        <w:ind w:left="283" w:hanging="283"/>
        <w:jc w:val="both"/>
        <w:rPr>
          <w:sz w:val="22"/>
          <w:szCs w:val="22"/>
        </w:rPr>
      </w:pPr>
      <w:r w:rsidRPr="00E93722">
        <w:rPr>
          <w:color w:val="000000"/>
          <w:sz w:val="22"/>
          <w:szCs w:val="22"/>
        </w:rPr>
        <w:t>mniej</w:t>
      </w:r>
    </w:p>
    <w:p w:rsidR="00566DD8" w:rsidRPr="00E93722" w:rsidRDefault="00566DD8" w:rsidP="00E93722">
      <w:pPr>
        <w:pStyle w:val="NormalWeb"/>
        <w:spacing w:before="0" w:beforeAutospacing="0" w:after="0" w:afterAutospacing="0"/>
        <w:ind w:left="283" w:hanging="283"/>
        <w:jc w:val="both"/>
        <w:rPr>
          <w:sz w:val="22"/>
          <w:szCs w:val="22"/>
        </w:rPr>
      </w:pPr>
      <w:r w:rsidRPr="00E93722">
        <w:rPr>
          <w:color w:val="000000"/>
          <w:sz w:val="22"/>
          <w:szCs w:val="22"/>
        </w:rPr>
        <w:t>bardziej</w:t>
      </w:r>
    </w:p>
    <w:p w:rsidR="00566DD8" w:rsidRPr="00E93722" w:rsidRDefault="00566DD8" w:rsidP="00E93722">
      <w:pPr>
        <w:pStyle w:val="NormalWeb"/>
        <w:spacing w:before="0" w:beforeAutospacing="0" w:after="0" w:afterAutospacing="0"/>
        <w:jc w:val="both"/>
        <w:rPr>
          <w:sz w:val="22"/>
          <w:szCs w:val="22"/>
        </w:rPr>
      </w:pPr>
      <w:r w:rsidRPr="00E93722">
        <w:rPr>
          <w:color w:val="000000"/>
          <w:sz w:val="22"/>
          <w:szCs w:val="22"/>
        </w:rPr>
        <w:t>Odpowiedź: Akcje uprzywilejowane są formą kapitału własnego, który jest mniej ryzykowny od zwykłych akcji.</w:t>
      </w:r>
    </w:p>
    <w:p w:rsidR="00566DD8" w:rsidRPr="00E93722" w:rsidRDefault="00566DD8" w:rsidP="00E93722">
      <w:pPr>
        <w:pStyle w:val="NormalWeb"/>
        <w:spacing w:before="0" w:beforeAutospacing="0" w:after="0" w:afterAutospacing="0"/>
        <w:jc w:val="both"/>
        <w:rPr>
          <w:color w:val="000000"/>
          <w:sz w:val="22"/>
          <w:szCs w:val="22"/>
        </w:rPr>
      </w:pPr>
      <w:r w:rsidRPr="00E93722">
        <w:rPr>
          <w:color w:val="000000"/>
          <w:sz w:val="22"/>
          <w:szCs w:val="22"/>
        </w:rPr>
        <w:t>Pomimo, że mają wiele wspólnego z kapitałem obcym, to jednak akcje uprzywilejowane dają swoim właścicielom pewne prawa własności w przedsiębiorstwie, które sprawiają, że ich pozycja prawnie bardzo różni się od pozycji pożyczkodawców.</w:t>
      </w:r>
    </w:p>
    <w:p w:rsidR="00566DD8" w:rsidRPr="00E93722" w:rsidRDefault="00566DD8" w:rsidP="00E93722">
      <w:pPr>
        <w:pStyle w:val="NormalWeb"/>
        <w:spacing w:before="0" w:beforeAutospacing="0" w:after="0" w:afterAutospacing="0"/>
        <w:jc w:val="both"/>
        <w:rPr>
          <w:sz w:val="22"/>
          <w:szCs w:val="22"/>
        </w:rPr>
      </w:pPr>
    </w:p>
    <w:p w:rsidR="00566DD8" w:rsidRPr="00E93722" w:rsidRDefault="009207A6" w:rsidP="00E93722">
      <w:pPr>
        <w:pStyle w:val="NormalWeb"/>
        <w:spacing w:before="0" w:beforeAutospacing="0" w:after="0" w:afterAutospacing="0"/>
        <w:ind w:hanging="283"/>
        <w:jc w:val="both"/>
        <w:rPr>
          <w:sz w:val="22"/>
          <w:szCs w:val="22"/>
        </w:rPr>
      </w:pPr>
      <w:r w:rsidRPr="00E93722">
        <w:rPr>
          <w:color w:val="000000"/>
          <w:sz w:val="22"/>
          <w:szCs w:val="22"/>
        </w:rPr>
        <w:t>Zad.32</w:t>
      </w:r>
      <w:r w:rsidR="00566DD8" w:rsidRPr="00E93722">
        <w:rPr>
          <w:color w:val="000000"/>
          <w:sz w:val="22"/>
          <w:szCs w:val="22"/>
        </w:rPr>
        <w:t>.    Czego miarą jest wskaźnik pokrycia dywidend?</w:t>
      </w:r>
    </w:p>
    <w:p w:rsidR="00566DD8" w:rsidRPr="00E93722" w:rsidRDefault="00566DD8" w:rsidP="00E93722">
      <w:pPr>
        <w:pStyle w:val="NormalWeb"/>
        <w:spacing w:before="0" w:beforeAutospacing="0" w:after="0" w:afterAutospacing="0"/>
        <w:ind w:left="283" w:hanging="283"/>
        <w:jc w:val="both"/>
        <w:rPr>
          <w:sz w:val="22"/>
          <w:szCs w:val="22"/>
        </w:rPr>
      </w:pPr>
      <w:r w:rsidRPr="00E93722">
        <w:rPr>
          <w:color w:val="000000"/>
          <w:sz w:val="22"/>
          <w:szCs w:val="22"/>
        </w:rPr>
        <w:t>A.    Jak wiele razy zyski przedsiębiorstwa mogłyby opłacić dywidendy.</w:t>
      </w:r>
    </w:p>
    <w:p w:rsidR="00566DD8" w:rsidRPr="00E93722" w:rsidRDefault="00566DD8" w:rsidP="00E93722">
      <w:pPr>
        <w:pStyle w:val="NormalWeb"/>
        <w:spacing w:before="0" w:beforeAutospacing="0" w:after="0" w:afterAutospacing="0"/>
        <w:ind w:left="283" w:hanging="283"/>
        <w:jc w:val="both"/>
        <w:rPr>
          <w:sz w:val="22"/>
          <w:szCs w:val="22"/>
        </w:rPr>
      </w:pPr>
      <w:r w:rsidRPr="00E93722">
        <w:rPr>
          <w:color w:val="000000"/>
          <w:sz w:val="22"/>
          <w:szCs w:val="22"/>
        </w:rPr>
        <w:t xml:space="preserve">B.    Stopy zwrotu lub kuponu </w:t>
      </w:r>
      <w:r w:rsidR="007656A9">
        <w:rPr>
          <w:color w:val="000000"/>
          <w:sz w:val="22"/>
          <w:szCs w:val="22"/>
        </w:rPr>
        <w:t>odniesionego do</w:t>
      </w:r>
      <w:r w:rsidRPr="00E93722">
        <w:rPr>
          <w:color w:val="000000"/>
          <w:sz w:val="22"/>
          <w:szCs w:val="22"/>
        </w:rPr>
        <w:t xml:space="preserve"> ceny rynkowej</w:t>
      </w:r>
      <w:r w:rsidR="007656A9">
        <w:rPr>
          <w:color w:val="000000"/>
          <w:sz w:val="22"/>
          <w:szCs w:val="22"/>
        </w:rPr>
        <w:t xml:space="preserve"> akcji</w:t>
      </w:r>
      <w:r w:rsidRPr="00E93722">
        <w:rPr>
          <w:color w:val="000000"/>
          <w:sz w:val="22"/>
          <w:szCs w:val="22"/>
        </w:rPr>
        <w:t>.</w:t>
      </w:r>
    </w:p>
    <w:p w:rsidR="00566DD8" w:rsidRPr="00E93722" w:rsidRDefault="00566DD8" w:rsidP="00E93722">
      <w:pPr>
        <w:pStyle w:val="NormalWeb"/>
        <w:spacing w:before="0" w:beforeAutospacing="0" w:after="0" w:afterAutospacing="0"/>
        <w:ind w:left="283" w:hanging="283"/>
        <w:jc w:val="both"/>
        <w:rPr>
          <w:sz w:val="22"/>
          <w:szCs w:val="22"/>
        </w:rPr>
      </w:pPr>
      <w:r w:rsidRPr="00E93722">
        <w:rPr>
          <w:color w:val="000000"/>
          <w:sz w:val="22"/>
          <w:szCs w:val="22"/>
        </w:rPr>
        <w:t>C.    Zwrotu d</w:t>
      </w:r>
      <w:r w:rsidR="007656A9">
        <w:rPr>
          <w:color w:val="000000"/>
          <w:sz w:val="22"/>
          <w:szCs w:val="22"/>
        </w:rPr>
        <w:t>la</w:t>
      </w:r>
      <w:r w:rsidRPr="00E93722">
        <w:rPr>
          <w:color w:val="000000"/>
          <w:sz w:val="22"/>
          <w:szCs w:val="22"/>
        </w:rPr>
        <w:t xml:space="preserve"> inwestora, </w:t>
      </w:r>
      <w:r w:rsidR="007656A9">
        <w:rPr>
          <w:color w:val="000000"/>
          <w:sz w:val="22"/>
          <w:szCs w:val="22"/>
        </w:rPr>
        <w:t>który bierze pod uwagę zyski kapitałowe i dywidendę</w:t>
      </w:r>
      <w:r w:rsidRPr="00E93722">
        <w:rPr>
          <w:color w:val="000000"/>
          <w:sz w:val="22"/>
          <w:szCs w:val="22"/>
        </w:rPr>
        <w:t>.</w:t>
      </w:r>
    </w:p>
    <w:p w:rsidR="00566DD8" w:rsidRPr="00E93722" w:rsidRDefault="00566DD8" w:rsidP="00E93722">
      <w:pPr>
        <w:pStyle w:val="NormalWeb"/>
        <w:spacing w:before="0" w:beforeAutospacing="0" w:after="0" w:afterAutospacing="0"/>
        <w:ind w:left="283" w:hanging="283"/>
        <w:jc w:val="both"/>
        <w:rPr>
          <w:sz w:val="22"/>
          <w:szCs w:val="22"/>
        </w:rPr>
      </w:pPr>
      <w:r w:rsidRPr="00E93722">
        <w:rPr>
          <w:color w:val="000000"/>
          <w:sz w:val="22"/>
          <w:szCs w:val="22"/>
        </w:rPr>
        <w:t>D.    Ile z sumy wszystkich wypłaconych dywidend mogą uzyskać indywidualni akcjonariusze.</w:t>
      </w:r>
    </w:p>
    <w:p w:rsidR="00566DD8" w:rsidRPr="00E93722" w:rsidRDefault="00566DD8" w:rsidP="00E93722">
      <w:pPr>
        <w:pStyle w:val="NormalWeb"/>
        <w:spacing w:before="0" w:beforeAutospacing="0" w:after="0" w:afterAutospacing="0"/>
        <w:jc w:val="both"/>
        <w:rPr>
          <w:sz w:val="22"/>
          <w:szCs w:val="22"/>
        </w:rPr>
      </w:pPr>
      <w:r w:rsidRPr="00E93722">
        <w:rPr>
          <w:color w:val="000000"/>
          <w:sz w:val="22"/>
          <w:szCs w:val="22"/>
        </w:rPr>
        <w:t xml:space="preserve">Odpowiedź A. </w:t>
      </w:r>
    </w:p>
    <w:p w:rsidR="00566DD8" w:rsidRPr="00E93722" w:rsidRDefault="00566DD8" w:rsidP="00E93722">
      <w:pPr>
        <w:pStyle w:val="NormalWeb"/>
        <w:spacing w:before="0" w:beforeAutospacing="0" w:after="0" w:afterAutospacing="0"/>
        <w:jc w:val="both"/>
        <w:rPr>
          <w:sz w:val="22"/>
          <w:szCs w:val="22"/>
        </w:rPr>
      </w:pPr>
    </w:p>
    <w:p w:rsidR="00566DD8" w:rsidRPr="00E93722" w:rsidRDefault="00566DD8" w:rsidP="00E93722">
      <w:pPr>
        <w:pStyle w:val="NormalWeb"/>
        <w:spacing w:before="0" w:beforeAutospacing="0" w:after="0" w:afterAutospacing="0"/>
        <w:ind w:hanging="283"/>
        <w:jc w:val="both"/>
        <w:rPr>
          <w:sz w:val="22"/>
          <w:szCs w:val="22"/>
        </w:rPr>
      </w:pPr>
      <w:r w:rsidRPr="00E93722">
        <w:rPr>
          <w:color w:val="000000"/>
          <w:sz w:val="22"/>
          <w:szCs w:val="22"/>
        </w:rPr>
        <w:t>Zad.3</w:t>
      </w:r>
      <w:r w:rsidR="009207A6" w:rsidRPr="00E93722">
        <w:rPr>
          <w:color w:val="000000"/>
          <w:sz w:val="22"/>
          <w:szCs w:val="22"/>
        </w:rPr>
        <w:t>3</w:t>
      </w:r>
      <w:r w:rsidRPr="00E93722">
        <w:rPr>
          <w:color w:val="000000"/>
          <w:sz w:val="22"/>
          <w:szCs w:val="22"/>
        </w:rPr>
        <w:t>.    W odniesieniu do leasingu finansowego, które 3 z poniższych zdań są prawdziwe?</w:t>
      </w:r>
    </w:p>
    <w:p w:rsidR="00566DD8" w:rsidRPr="00E93722" w:rsidRDefault="00566DD8" w:rsidP="00E93722">
      <w:pPr>
        <w:pStyle w:val="NormalWeb"/>
        <w:spacing w:before="0" w:beforeAutospacing="0" w:after="0" w:afterAutospacing="0"/>
        <w:ind w:left="283" w:hanging="283"/>
        <w:jc w:val="both"/>
        <w:rPr>
          <w:sz w:val="22"/>
          <w:szCs w:val="22"/>
        </w:rPr>
      </w:pPr>
      <w:r w:rsidRPr="00E93722">
        <w:rPr>
          <w:color w:val="000000"/>
          <w:sz w:val="22"/>
          <w:szCs w:val="22"/>
        </w:rPr>
        <w:t>A.    Umowa leasingu nie może zostać rozwiązana.</w:t>
      </w:r>
    </w:p>
    <w:p w:rsidR="00566DD8" w:rsidRPr="00E93722" w:rsidRDefault="00566DD8" w:rsidP="00E93722">
      <w:pPr>
        <w:pStyle w:val="NormalWeb"/>
        <w:spacing w:before="0" w:beforeAutospacing="0" w:after="0" w:afterAutospacing="0"/>
        <w:ind w:left="283" w:hanging="283"/>
        <w:jc w:val="both"/>
        <w:rPr>
          <w:sz w:val="22"/>
          <w:szCs w:val="22"/>
        </w:rPr>
      </w:pPr>
      <w:r w:rsidRPr="00E93722">
        <w:rPr>
          <w:color w:val="000000"/>
          <w:sz w:val="22"/>
          <w:szCs w:val="22"/>
        </w:rPr>
        <w:t xml:space="preserve">B.    Jedna umowa leasingu trwa przez cały okres </w:t>
      </w:r>
      <w:r w:rsidR="003B176D">
        <w:rPr>
          <w:color w:val="000000"/>
          <w:sz w:val="22"/>
          <w:szCs w:val="22"/>
        </w:rPr>
        <w:t>życia</w:t>
      </w:r>
      <w:r w:rsidRPr="00E93722">
        <w:rPr>
          <w:color w:val="000000"/>
          <w:sz w:val="22"/>
          <w:szCs w:val="22"/>
        </w:rPr>
        <w:t xml:space="preserve"> aktywów.</w:t>
      </w:r>
    </w:p>
    <w:p w:rsidR="00566DD8" w:rsidRPr="00E93722" w:rsidRDefault="00566DD8" w:rsidP="00E93722">
      <w:pPr>
        <w:pStyle w:val="NormalWeb"/>
        <w:spacing w:before="0" w:beforeAutospacing="0" w:after="0" w:afterAutospacing="0"/>
        <w:ind w:left="283" w:hanging="283"/>
        <w:jc w:val="both"/>
        <w:rPr>
          <w:sz w:val="22"/>
          <w:szCs w:val="22"/>
        </w:rPr>
      </w:pPr>
      <w:r w:rsidRPr="00E93722">
        <w:rPr>
          <w:color w:val="000000"/>
          <w:sz w:val="22"/>
          <w:szCs w:val="22"/>
        </w:rPr>
        <w:t>C.    Leasingodawca zachowuje ryzyko i korzyści z posiadania</w:t>
      </w:r>
      <w:r w:rsidR="00F43E10">
        <w:rPr>
          <w:color w:val="000000"/>
          <w:sz w:val="22"/>
          <w:szCs w:val="22"/>
        </w:rPr>
        <w:t xml:space="preserve"> aktywów</w:t>
      </w:r>
    </w:p>
    <w:p w:rsidR="00566DD8" w:rsidRPr="00E93722" w:rsidRDefault="00566DD8" w:rsidP="00E93722">
      <w:pPr>
        <w:pStyle w:val="NormalWeb"/>
        <w:spacing w:before="0" w:beforeAutospacing="0" w:after="0" w:afterAutospacing="0"/>
        <w:ind w:left="283" w:hanging="283"/>
        <w:jc w:val="both"/>
        <w:rPr>
          <w:sz w:val="22"/>
          <w:szCs w:val="22"/>
        </w:rPr>
      </w:pPr>
      <w:r w:rsidRPr="00E93722">
        <w:rPr>
          <w:color w:val="000000"/>
          <w:sz w:val="22"/>
          <w:szCs w:val="22"/>
        </w:rPr>
        <w:t>D.    Leasingobiorca jest odpowiedzialny za naprawy i utrzymanie.</w:t>
      </w:r>
    </w:p>
    <w:p w:rsidR="00566DD8" w:rsidRPr="00E93722" w:rsidRDefault="00566DD8" w:rsidP="00E93722">
      <w:pPr>
        <w:pStyle w:val="NormalWeb"/>
        <w:spacing w:before="0" w:beforeAutospacing="0" w:after="0" w:afterAutospacing="0"/>
        <w:jc w:val="both"/>
        <w:rPr>
          <w:color w:val="000000"/>
          <w:sz w:val="22"/>
          <w:szCs w:val="22"/>
        </w:rPr>
      </w:pPr>
      <w:r w:rsidRPr="00E93722">
        <w:rPr>
          <w:color w:val="000000"/>
          <w:sz w:val="22"/>
          <w:szCs w:val="22"/>
        </w:rPr>
        <w:t>Odpowiedzi A, B, D. Leasingodawca nie zachowuje ani ryzyka ani korzyści z posiadania.</w:t>
      </w:r>
    </w:p>
    <w:p w:rsidR="00566DD8" w:rsidRPr="00E93722" w:rsidRDefault="00566DD8" w:rsidP="00E93722">
      <w:pPr>
        <w:pStyle w:val="NormalWeb"/>
        <w:spacing w:before="0" w:beforeAutospacing="0" w:after="0" w:afterAutospacing="0"/>
        <w:jc w:val="both"/>
        <w:rPr>
          <w:sz w:val="22"/>
          <w:szCs w:val="22"/>
        </w:rPr>
      </w:pPr>
    </w:p>
    <w:p w:rsidR="00566DD8" w:rsidRPr="00E93722" w:rsidRDefault="00566DD8" w:rsidP="00E93722">
      <w:pPr>
        <w:pStyle w:val="NormalWeb"/>
        <w:spacing w:before="0" w:beforeAutospacing="0" w:after="0" w:afterAutospacing="0"/>
        <w:ind w:hanging="283"/>
        <w:jc w:val="both"/>
        <w:rPr>
          <w:sz w:val="22"/>
          <w:szCs w:val="22"/>
        </w:rPr>
      </w:pPr>
      <w:r w:rsidRPr="00E93722">
        <w:rPr>
          <w:color w:val="000000"/>
          <w:sz w:val="22"/>
          <w:szCs w:val="22"/>
        </w:rPr>
        <w:t>Zad.3</w:t>
      </w:r>
      <w:r w:rsidR="009207A6" w:rsidRPr="00E93722">
        <w:rPr>
          <w:color w:val="000000"/>
          <w:sz w:val="22"/>
          <w:szCs w:val="22"/>
        </w:rPr>
        <w:t>4</w:t>
      </w:r>
      <w:r w:rsidRPr="00E93722">
        <w:rPr>
          <w:color w:val="000000"/>
          <w:sz w:val="22"/>
          <w:szCs w:val="22"/>
        </w:rPr>
        <w:t>.    Pan Kowalski posiada wolne 30.000$, które planuje zainwestować na Giełdzie Papierów Wartościowych by mieć źródło kapitału na zainwestowanie w otwarcie własnego biznesu za kilka lat. Jego przyjaciel pracujący w Londynie powiedział mu, że Londyńska Giełda Papierów Wartościowych wykazuje silną efektywność rynkową.</w:t>
      </w:r>
    </w:p>
    <w:p w:rsidR="00566DD8" w:rsidRPr="00E93722" w:rsidRDefault="00566DD8" w:rsidP="00E93722">
      <w:pPr>
        <w:spacing w:after="0" w:line="240" w:lineRule="auto"/>
        <w:rPr>
          <w:rFonts w:ascii="Times New Roman" w:hAnsi="Times New Roman" w:cs="Times New Roman"/>
        </w:rPr>
      </w:pPr>
    </w:p>
    <w:p w:rsidR="00566DD8" w:rsidRPr="00E93722" w:rsidRDefault="00566DD8" w:rsidP="00E93722">
      <w:pPr>
        <w:pStyle w:val="NormalWeb"/>
        <w:spacing w:before="0" w:beforeAutospacing="0" w:after="0" w:afterAutospacing="0"/>
        <w:ind w:hanging="283"/>
        <w:jc w:val="both"/>
        <w:rPr>
          <w:sz w:val="22"/>
          <w:szCs w:val="22"/>
        </w:rPr>
      </w:pPr>
      <w:r w:rsidRPr="00E93722">
        <w:rPr>
          <w:color w:val="000000"/>
          <w:sz w:val="22"/>
          <w:szCs w:val="22"/>
        </w:rPr>
        <w:t>Którą z poniższych strategii inwestycyjnych powinien wybrać pan Kowalski?</w:t>
      </w:r>
    </w:p>
    <w:p w:rsidR="00566DD8" w:rsidRPr="00E93722" w:rsidRDefault="00566DD8" w:rsidP="00E93722">
      <w:pPr>
        <w:pStyle w:val="NormalWeb"/>
        <w:numPr>
          <w:ilvl w:val="0"/>
          <w:numId w:val="19"/>
        </w:numPr>
        <w:spacing w:before="0" w:beforeAutospacing="0" w:after="0" w:afterAutospacing="0"/>
        <w:jc w:val="both"/>
        <w:textAlignment w:val="baseline"/>
        <w:rPr>
          <w:color w:val="000000"/>
          <w:sz w:val="22"/>
          <w:szCs w:val="22"/>
        </w:rPr>
      </w:pPr>
      <w:r w:rsidRPr="00E93722">
        <w:rPr>
          <w:color w:val="000000"/>
          <w:sz w:val="22"/>
          <w:szCs w:val="22"/>
        </w:rPr>
        <w:t>Studiować raporty przedsiębiorstw w gazetach i starać się znaleźć niedowartościowane akcje, w które mógłby zainwestować.</w:t>
      </w:r>
    </w:p>
    <w:p w:rsidR="00566DD8" w:rsidRPr="00E93722" w:rsidRDefault="00566DD8" w:rsidP="00E93722">
      <w:pPr>
        <w:pStyle w:val="NormalWeb"/>
        <w:numPr>
          <w:ilvl w:val="0"/>
          <w:numId w:val="19"/>
        </w:numPr>
        <w:spacing w:before="0" w:beforeAutospacing="0" w:after="0" w:afterAutospacing="0"/>
        <w:jc w:val="both"/>
        <w:textAlignment w:val="baseline"/>
        <w:rPr>
          <w:color w:val="000000"/>
          <w:sz w:val="22"/>
          <w:szCs w:val="22"/>
        </w:rPr>
      </w:pPr>
      <w:r w:rsidRPr="00E93722">
        <w:rPr>
          <w:color w:val="000000"/>
          <w:sz w:val="22"/>
          <w:szCs w:val="22"/>
        </w:rPr>
        <w:t>Zainwestować w 2 lub 3 firmy przynoszące dochód i trzymać ich akcje tak długo jak to możliwe.</w:t>
      </w:r>
    </w:p>
    <w:p w:rsidR="00566DD8" w:rsidRPr="00E93722" w:rsidRDefault="00566DD8" w:rsidP="00E93722">
      <w:pPr>
        <w:pStyle w:val="NormalWeb"/>
        <w:numPr>
          <w:ilvl w:val="0"/>
          <w:numId w:val="19"/>
        </w:numPr>
        <w:spacing w:before="0" w:beforeAutospacing="0" w:after="0" w:afterAutospacing="0"/>
        <w:jc w:val="both"/>
        <w:textAlignment w:val="baseline"/>
        <w:rPr>
          <w:color w:val="000000"/>
          <w:sz w:val="22"/>
          <w:szCs w:val="22"/>
        </w:rPr>
      </w:pPr>
      <w:r w:rsidRPr="00E93722">
        <w:rPr>
          <w:color w:val="000000"/>
          <w:sz w:val="22"/>
          <w:szCs w:val="22"/>
        </w:rPr>
        <w:t>Zdywersyfikować portfel inwestycji akcjami spółek z różnych sektorów gospodarki.</w:t>
      </w:r>
    </w:p>
    <w:p w:rsidR="00566DD8" w:rsidRPr="00E93722" w:rsidRDefault="00566DD8" w:rsidP="00E93722">
      <w:pPr>
        <w:pStyle w:val="NormalWeb"/>
        <w:numPr>
          <w:ilvl w:val="0"/>
          <w:numId w:val="19"/>
        </w:numPr>
        <w:spacing w:before="0" w:beforeAutospacing="0" w:after="0" w:afterAutospacing="0"/>
        <w:jc w:val="both"/>
        <w:textAlignment w:val="baseline"/>
        <w:rPr>
          <w:color w:val="000000"/>
          <w:sz w:val="22"/>
          <w:szCs w:val="22"/>
        </w:rPr>
      </w:pPr>
      <w:r w:rsidRPr="00E93722">
        <w:rPr>
          <w:color w:val="000000"/>
          <w:sz w:val="22"/>
          <w:szCs w:val="22"/>
        </w:rPr>
        <w:t>Studiować raporty przedsiębiorstw w gazetach i starać się znaleźć szybko rozwijające się przedsiębiorstwa, w które warto zainwestować.</w:t>
      </w:r>
    </w:p>
    <w:p w:rsidR="00566DD8" w:rsidRPr="00E93722" w:rsidRDefault="00566DD8" w:rsidP="00E93722">
      <w:pPr>
        <w:pStyle w:val="NormalWeb"/>
        <w:spacing w:before="0" w:beforeAutospacing="0" w:after="0" w:afterAutospacing="0"/>
        <w:jc w:val="both"/>
        <w:rPr>
          <w:sz w:val="22"/>
          <w:szCs w:val="22"/>
        </w:rPr>
      </w:pPr>
      <w:r w:rsidRPr="00E93722">
        <w:rPr>
          <w:color w:val="000000"/>
          <w:sz w:val="22"/>
          <w:szCs w:val="22"/>
        </w:rPr>
        <w:t>Odpowiedź C.</w:t>
      </w:r>
    </w:p>
    <w:p w:rsidR="00566DD8" w:rsidRPr="00E93722" w:rsidRDefault="00566DD8" w:rsidP="00E93722">
      <w:pPr>
        <w:pStyle w:val="NormalWeb"/>
        <w:spacing w:before="0" w:beforeAutospacing="0" w:after="0" w:afterAutospacing="0"/>
        <w:jc w:val="both"/>
        <w:rPr>
          <w:sz w:val="22"/>
          <w:szCs w:val="22"/>
        </w:rPr>
      </w:pPr>
      <w:r w:rsidRPr="00E93722">
        <w:rPr>
          <w:color w:val="000000"/>
          <w:sz w:val="22"/>
          <w:szCs w:val="22"/>
        </w:rPr>
        <w:t xml:space="preserve">Preferowanym podejściem jest dywersyfikacja portfela inwestycji, ponieważ minimalizuje to ryzyko w portfelu i powinno zapewnić panu Kowalskiemu zysk zbliżający się do poziomu średniego zysku na rynku. Silna efektywność </w:t>
      </w:r>
      <w:r w:rsidRPr="00E93722">
        <w:rPr>
          <w:color w:val="000000"/>
          <w:sz w:val="22"/>
          <w:szCs w:val="22"/>
        </w:rPr>
        <w:lastRenderedPageBreak/>
        <w:t xml:space="preserve">rynkowa oznacza, że pan Kowalski nie może zrobić nic, co zagwarantuje mu zysk większy niż indeksy giełdowe – nawet poprzez </w:t>
      </w:r>
      <w:hyperlink r:id="rId8" w:history="1">
        <w:r w:rsidRPr="00E93722">
          <w:rPr>
            <w:rStyle w:val="Hyperlink"/>
            <w:color w:val="000000"/>
            <w:sz w:val="22"/>
            <w:szCs w:val="22"/>
          </w:rPr>
          <w:t>spekulacje</w:t>
        </w:r>
      </w:hyperlink>
      <w:r w:rsidRPr="00E93722">
        <w:rPr>
          <w:color w:val="000000"/>
          <w:sz w:val="22"/>
          <w:szCs w:val="22"/>
        </w:rPr>
        <w:t> </w:t>
      </w:r>
      <w:hyperlink r:id="rId9" w:history="1">
        <w:r w:rsidRPr="00E93722">
          <w:rPr>
            <w:rStyle w:val="Hyperlink"/>
            <w:color w:val="000000"/>
            <w:sz w:val="22"/>
            <w:szCs w:val="22"/>
          </w:rPr>
          <w:t>akcjami</w:t>
        </w:r>
      </w:hyperlink>
      <w:r w:rsidRPr="00E93722">
        <w:rPr>
          <w:color w:val="000000"/>
          <w:sz w:val="22"/>
          <w:szCs w:val="22"/>
        </w:rPr>
        <w:t> </w:t>
      </w:r>
      <w:hyperlink r:id="rId10" w:history="1">
        <w:r w:rsidRPr="00E93722">
          <w:rPr>
            <w:rStyle w:val="Hyperlink"/>
            <w:color w:val="000000"/>
            <w:sz w:val="22"/>
            <w:szCs w:val="22"/>
          </w:rPr>
          <w:t>przy</w:t>
        </w:r>
      </w:hyperlink>
      <w:r w:rsidRPr="00E93722">
        <w:rPr>
          <w:color w:val="000000"/>
          <w:sz w:val="22"/>
          <w:szCs w:val="22"/>
        </w:rPr>
        <w:t> </w:t>
      </w:r>
      <w:hyperlink r:id="rId11" w:history="1">
        <w:r w:rsidRPr="00E93722">
          <w:rPr>
            <w:rStyle w:val="Hyperlink"/>
            <w:color w:val="000000"/>
            <w:sz w:val="22"/>
            <w:szCs w:val="22"/>
          </w:rPr>
          <w:t>użyciu</w:t>
        </w:r>
      </w:hyperlink>
      <w:r w:rsidRPr="00E93722">
        <w:rPr>
          <w:color w:val="000000"/>
          <w:sz w:val="22"/>
          <w:szCs w:val="22"/>
        </w:rPr>
        <w:t xml:space="preserve"> poufnych informacji, więc odpowiedzi A i D byłyby stratą czasu.</w:t>
      </w:r>
    </w:p>
    <w:p w:rsidR="00566DD8" w:rsidRPr="00E93722" w:rsidRDefault="00566DD8" w:rsidP="00E93722">
      <w:pPr>
        <w:spacing w:after="0" w:line="240" w:lineRule="auto"/>
        <w:jc w:val="both"/>
        <w:rPr>
          <w:rFonts w:ascii="Times New Roman" w:hAnsi="Times New Roman" w:cs="Times New Roman"/>
        </w:rPr>
      </w:pPr>
    </w:p>
    <w:p w:rsidR="00566DD8" w:rsidRPr="00E93722" w:rsidRDefault="00566DD8" w:rsidP="00E93722">
      <w:pPr>
        <w:spacing w:after="0" w:line="240" w:lineRule="auto"/>
        <w:jc w:val="both"/>
        <w:rPr>
          <w:rFonts w:ascii="Times New Roman" w:hAnsi="Times New Roman" w:cs="Times New Roman"/>
        </w:rPr>
      </w:pPr>
    </w:p>
    <w:p w:rsidR="003321E2" w:rsidRPr="00E93722" w:rsidRDefault="00566DD8" w:rsidP="00E93722">
      <w:pPr>
        <w:spacing w:after="0" w:line="240" w:lineRule="auto"/>
        <w:jc w:val="both"/>
        <w:rPr>
          <w:rFonts w:ascii="Times New Roman" w:hAnsi="Times New Roman" w:cs="Times New Roman"/>
        </w:rPr>
      </w:pPr>
      <w:r w:rsidRPr="00E93722">
        <w:rPr>
          <w:rFonts w:ascii="Times New Roman" w:hAnsi="Times New Roman" w:cs="Times New Roman"/>
        </w:rPr>
        <w:t>Zad.3</w:t>
      </w:r>
      <w:r w:rsidR="009207A6" w:rsidRPr="00E93722">
        <w:rPr>
          <w:rFonts w:ascii="Times New Roman" w:hAnsi="Times New Roman" w:cs="Times New Roman"/>
        </w:rPr>
        <w:t>5</w:t>
      </w:r>
      <w:r w:rsidRPr="00E93722">
        <w:rPr>
          <w:rFonts w:ascii="Times New Roman" w:hAnsi="Times New Roman" w:cs="Times New Roman"/>
        </w:rPr>
        <w:t>.</w:t>
      </w:r>
    </w:p>
    <w:p w:rsidR="00566DD8" w:rsidRPr="00E93722" w:rsidRDefault="00566DD8" w:rsidP="00E93722">
      <w:pPr>
        <w:pStyle w:val="BodyText"/>
        <w:spacing w:after="0" w:line="240" w:lineRule="auto"/>
        <w:jc w:val="both"/>
        <w:rPr>
          <w:rFonts w:ascii="Times New Roman" w:hAnsi="Times New Roman" w:cs="Times New Roman"/>
        </w:rPr>
      </w:pPr>
      <w:r w:rsidRPr="00E93722">
        <w:rPr>
          <w:rFonts w:ascii="Times New Roman" w:hAnsi="Times New Roman" w:cs="Times New Roman"/>
        </w:rPr>
        <w:t>MAT Co prowadzi sieć sklepów zajmujących się sprzedażą mebli. Posiada udany model biznesowy i szuka możliwości zwiększenia dodatkowego finansowania aby w przyszłości rozwijać dalej sprzedaż. MAT Co jest obecnie notowana na AIM (rynek wtórny/AIM coś jak Warszawski NewConnect) akcje spółki na giełdzie mają niską płynność, czyli są obracane jedynie nieregularnie. Poniższe informacje dotyczą sytuacji finansowej MAT Co:</w:t>
      </w:r>
    </w:p>
    <w:p w:rsidR="00566DD8" w:rsidRPr="00E93722" w:rsidRDefault="00566DD8" w:rsidP="00E93722">
      <w:pPr>
        <w:pStyle w:val="BodyText"/>
        <w:spacing w:after="0" w:line="240" w:lineRule="auto"/>
        <w:jc w:val="both"/>
        <w:rPr>
          <w:rFonts w:ascii="Times New Roman" w:hAnsi="Times New Roman" w:cs="Times New Roman"/>
        </w:rPr>
      </w:pPr>
      <w:r w:rsidRPr="00E93722">
        <w:rPr>
          <w:rFonts w:ascii="Times New Roman" w:hAnsi="Times New Roman" w:cs="Times New Roman"/>
        </w:rPr>
        <w:t xml:space="preserve">Ostatni bilans: </w:t>
      </w:r>
    </w:p>
    <w:tbl>
      <w:tblPr>
        <w:tblStyle w:val="TableGrid"/>
        <w:tblW w:w="0" w:type="auto"/>
        <w:tblLook w:val="04A0" w:firstRow="1" w:lastRow="0" w:firstColumn="1" w:lastColumn="0" w:noHBand="0" w:noVBand="1"/>
      </w:tblPr>
      <w:tblGrid>
        <w:gridCol w:w="4531"/>
        <w:gridCol w:w="4531"/>
      </w:tblGrid>
      <w:tr w:rsidR="00566DD8" w:rsidRPr="00E93722" w:rsidTr="009F08FC">
        <w:tc>
          <w:tcPr>
            <w:tcW w:w="4531" w:type="dxa"/>
          </w:tcPr>
          <w:p w:rsidR="00566DD8" w:rsidRPr="00E93722" w:rsidRDefault="00566DD8" w:rsidP="00E93722">
            <w:pPr>
              <w:jc w:val="both"/>
              <w:rPr>
                <w:rFonts w:ascii="Times New Roman" w:hAnsi="Times New Roman" w:cs="Times New Roman"/>
              </w:rPr>
            </w:pPr>
          </w:p>
        </w:tc>
        <w:tc>
          <w:tcPr>
            <w:tcW w:w="4531" w:type="dxa"/>
          </w:tcPr>
          <w:p w:rsidR="00566DD8" w:rsidRPr="00E93722" w:rsidRDefault="00566DD8" w:rsidP="00E93722">
            <w:pPr>
              <w:jc w:val="both"/>
              <w:rPr>
                <w:rFonts w:ascii="Times New Roman" w:hAnsi="Times New Roman" w:cs="Times New Roman"/>
              </w:rPr>
            </w:pPr>
            <w:r w:rsidRPr="00E93722">
              <w:rPr>
                <w:rFonts w:ascii="Times New Roman" w:hAnsi="Times New Roman" w:cs="Times New Roman"/>
              </w:rPr>
              <w:t>w (mln $)</w:t>
            </w:r>
          </w:p>
        </w:tc>
      </w:tr>
      <w:tr w:rsidR="00566DD8" w:rsidRPr="00E93722" w:rsidTr="009F08FC">
        <w:tc>
          <w:tcPr>
            <w:tcW w:w="4531" w:type="dxa"/>
            <w:shd w:val="clear" w:color="auto" w:fill="BDD6EE" w:themeFill="accent1" w:themeFillTint="66"/>
          </w:tcPr>
          <w:p w:rsidR="00566DD8" w:rsidRPr="00E93722" w:rsidRDefault="00566DD8" w:rsidP="00E93722">
            <w:pPr>
              <w:jc w:val="both"/>
              <w:rPr>
                <w:rFonts w:ascii="Times New Roman" w:hAnsi="Times New Roman" w:cs="Times New Roman"/>
                <w:b/>
              </w:rPr>
            </w:pPr>
            <w:r w:rsidRPr="00E93722">
              <w:rPr>
                <w:rFonts w:ascii="Times New Roman" w:hAnsi="Times New Roman" w:cs="Times New Roman"/>
                <w:b/>
              </w:rPr>
              <w:t>Aktywa</w:t>
            </w:r>
          </w:p>
        </w:tc>
        <w:tc>
          <w:tcPr>
            <w:tcW w:w="4531" w:type="dxa"/>
            <w:shd w:val="clear" w:color="auto" w:fill="BDD6EE" w:themeFill="accent1" w:themeFillTint="66"/>
          </w:tcPr>
          <w:p w:rsidR="00566DD8" w:rsidRPr="00E93722" w:rsidRDefault="00566DD8" w:rsidP="00E93722">
            <w:pPr>
              <w:jc w:val="both"/>
              <w:rPr>
                <w:rFonts w:ascii="Times New Roman" w:hAnsi="Times New Roman" w:cs="Times New Roman"/>
              </w:rPr>
            </w:pPr>
          </w:p>
        </w:tc>
      </w:tr>
      <w:tr w:rsidR="00566DD8" w:rsidRPr="00E93722" w:rsidTr="009F08FC">
        <w:tc>
          <w:tcPr>
            <w:tcW w:w="4531" w:type="dxa"/>
          </w:tcPr>
          <w:p w:rsidR="00566DD8" w:rsidRPr="00E93722" w:rsidRDefault="00566DD8" w:rsidP="00E93722">
            <w:pPr>
              <w:jc w:val="both"/>
              <w:rPr>
                <w:rFonts w:ascii="Times New Roman" w:hAnsi="Times New Roman" w:cs="Times New Roman"/>
                <w:i/>
              </w:rPr>
            </w:pPr>
            <w:r w:rsidRPr="00E93722">
              <w:rPr>
                <w:rFonts w:ascii="Times New Roman" w:hAnsi="Times New Roman" w:cs="Times New Roman"/>
                <w:i/>
              </w:rPr>
              <w:t xml:space="preserve">Aktywa trwałe </w:t>
            </w:r>
          </w:p>
        </w:tc>
        <w:tc>
          <w:tcPr>
            <w:tcW w:w="4531" w:type="dxa"/>
          </w:tcPr>
          <w:p w:rsidR="00566DD8" w:rsidRPr="00E93722" w:rsidRDefault="00566DD8" w:rsidP="00E93722">
            <w:pPr>
              <w:jc w:val="both"/>
              <w:rPr>
                <w:rFonts w:ascii="Times New Roman" w:hAnsi="Times New Roman" w:cs="Times New Roman"/>
              </w:rPr>
            </w:pPr>
            <w:r w:rsidRPr="00E93722">
              <w:rPr>
                <w:rFonts w:ascii="Times New Roman" w:hAnsi="Times New Roman" w:cs="Times New Roman"/>
              </w:rPr>
              <w:t>71</w:t>
            </w:r>
          </w:p>
        </w:tc>
      </w:tr>
      <w:tr w:rsidR="00566DD8" w:rsidRPr="00E93722" w:rsidTr="009F08FC">
        <w:tc>
          <w:tcPr>
            <w:tcW w:w="4531" w:type="dxa"/>
          </w:tcPr>
          <w:p w:rsidR="00566DD8" w:rsidRPr="00E93722" w:rsidRDefault="00566DD8" w:rsidP="00E93722">
            <w:pPr>
              <w:jc w:val="both"/>
              <w:rPr>
                <w:rFonts w:ascii="Times New Roman" w:hAnsi="Times New Roman" w:cs="Times New Roman"/>
                <w:i/>
              </w:rPr>
            </w:pPr>
            <w:r w:rsidRPr="00E93722">
              <w:rPr>
                <w:rFonts w:ascii="Times New Roman" w:hAnsi="Times New Roman" w:cs="Times New Roman"/>
                <w:i/>
              </w:rPr>
              <w:t>Aktywa obrotowe</w:t>
            </w:r>
          </w:p>
        </w:tc>
        <w:tc>
          <w:tcPr>
            <w:tcW w:w="4531" w:type="dxa"/>
          </w:tcPr>
          <w:p w:rsidR="00566DD8" w:rsidRPr="00E93722" w:rsidRDefault="00566DD8" w:rsidP="00E93722">
            <w:pPr>
              <w:jc w:val="both"/>
              <w:rPr>
                <w:rFonts w:ascii="Times New Roman" w:hAnsi="Times New Roman" w:cs="Times New Roman"/>
              </w:rPr>
            </w:pPr>
          </w:p>
        </w:tc>
      </w:tr>
      <w:tr w:rsidR="00566DD8" w:rsidRPr="00E93722" w:rsidTr="009F08FC">
        <w:tc>
          <w:tcPr>
            <w:tcW w:w="4531" w:type="dxa"/>
          </w:tcPr>
          <w:p w:rsidR="00566DD8" w:rsidRPr="00E93722" w:rsidRDefault="00566DD8" w:rsidP="00E93722">
            <w:pPr>
              <w:jc w:val="both"/>
              <w:rPr>
                <w:rFonts w:ascii="Times New Roman" w:hAnsi="Times New Roman" w:cs="Times New Roman"/>
              </w:rPr>
            </w:pPr>
            <w:r w:rsidRPr="00E93722">
              <w:rPr>
                <w:rFonts w:ascii="Times New Roman" w:hAnsi="Times New Roman" w:cs="Times New Roman"/>
              </w:rPr>
              <w:t>Zapasy</w:t>
            </w:r>
          </w:p>
        </w:tc>
        <w:tc>
          <w:tcPr>
            <w:tcW w:w="4531" w:type="dxa"/>
          </w:tcPr>
          <w:p w:rsidR="00566DD8" w:rsidRPr="00E93722" w:rsidRDefault="00566DD8" w:rsidP="00E93722">
            <w:pPr>
              <w:jc w:val="both"/>
              <w:rPr>
                <w:rFonts w:ascii="Times New Roman" w:hAnsi="Times New Roman" w:cs="Times New Roman"/>
              </w:rPr>
            </w:pPr>
            <w:r w:rsidRPr="00E93722">
              <w:rPr>
                <w:rFonts w:ascii="Times New Roman" w:hAnsi="Times New Roman" w:cs="Times New Roman"/>
              </w:rPr>
              <w:t>8</w:t>
            </w:r>
          </w:p>
        </w:tc>
      </w:tr>
      <w:tr w:rsidR="00566DD8" w:rsidRPr="00E93722" w:rsidTr="009F08FC">
        <w:tc>
          <w:tcPr>
            <w:tcW w:w="4531" w:type="dxa"/>
          </w:tcPr>
          <w:p w:rsidR="00566DD8" w:rsidRPr="00E93722" w:rsidRDefault="00566DD8" w:rsidP="00E93722">
            <w:pPr>
              <w:jc w:val="both"/>
              <w:rPr>
                <w:rFonts w:ascii="Times New Roman" w:hAnsi="Times New Roman" w:cs="Times New Roman"/>
              </w:rPr>
            </w:pPr>
            <w:r w:rsidRPr="00E93722">
              <w:rPr>
                <w:rFonts w:ascii="Times New Roman" w:hAnsi="Times New Roman" w:cs="Times New Roman"/>
              </w:rPr>
              <w:t xml:space="preserve">Należności handlowe </w:t>
            </w:r>
          </w:p>
        </w:tc>
        <w:tc>
          <w:tcPr>
            <w:tcW w:w="4531" w:type="dxa"/>
          </w:tcPr>
          <w:p w:rsidR="00566DD8" w:rsidRPr="00E93722" w:rsidRDefault="00566DD8" w:rsidP="00E93722">
            <w:pPr>
              <w:jc w:val="both"/>
              <w:rPr>
                <w:rFonts w:ascii="Times New Roman" w:hAnsi="Times New Roman" w:cs="Times New Roman"/>
              </w:rPr>
            </w:pPr>
            <w:r w:rsidRPr="00E93722">
              <w:rPr>
                <w:rFonts w:ascii="Times New Roman" w:hAnsi="Times New Roman" w:cs="Times New Roman"/>
              </w:rPr>
              <w:t>11</w:t>
            </w:r>
          </w:p>
        </w:tc>
      </w:tr>
      <w:tr w:rsidR="00566DD8" w:rsidRPr="00E93722" w:rsidTr="009F08FC">
        <w:tc>
          <w:tcPr>
            <w:tcW w:w="4531" w:type="dxa"/>
          </w:tcPr>
          <w:p w:rsidR="00566DD8" w:rsidRPr="00E93722" w:rsidRDefault="00566DD8" w:rsidP="00E93722">
            <w:pPr>
              <w:jc w:val="both"/>
              <w:rPr>
                <w:rFonts w:ascii="Times New Roman" w:hAnsi="Times New Roman" w:cs="Times New Roman"/>
              </w:rPr>
            </w:pPr>
            <w:r w:rsidRPr="00E93722">
              <w:rPr>
                <w:rFonts w:ascii="Times New Roman" w:hAnsi="Times New Roman" w:cs="Times New Roman"/>
              </w:rPr>
              <w:t>Gotówka</w:t>
            </w:r>
          </w:p>
        </w:tc>
        <w:tc>
          <w:tcPr>
            <w:tcW w:w="4531" w:type="dxa"/>
          </w:tcPr>
          <w:p w:rsidR="00566DD8" w:rsidRPr="00E93722" w:rsidRDefault="00566DD8" w:rsidP="00E93722">
            <w:pPr>
              <w:jc w:val="both"/>
              <w:rPr>
                <w:rFonts w:ascii="Times New Roman" w:hAnsi="Times New Roman" w:cs="Times New Roman"/>
              </w:rPr>
            </w:pPr>
            <w:r w:rsidRPr="00E93722">
              <w:rPr>
                <w:rFonts w:ascii="Times New Roman" w:hAnsi="Times New Roman" w:cs="Times New Roman"/>
              </w:rPr>
              <w:t>15</w:t>
            </w:r>
          </w:p>
        </w:tc>
      </w:tr>
      <w:tr w:rsidR="00566DD8" w:rsidRPr="00E93722" w:rsidTr="009F08FC">
        <w:tc>
          <w:tcPr>
            <w:tcW w:w="4531" w:type="dxa"/>
          </w:tcPr>
          <w:p w:rsidR="00566DD8" w:rsidRPr="00E93722" w:rsidRDefault="00566DD8" w:rsidP="00E93722">
            <w:pPr>
              <w:jc w:val="both"/>
              <w:rPr>
                <w:rFonts w:ascii="Times New Roman" w:hAnsi="Times New Roman" w:cs="Times New Roman"/>
              </w:rPr>
            </w:pPr>
          </w:p>
        </w:tc>
        <w:tc>
          <w:tcPr>
            <w:tcW w:w="4531" w:type="dxa"/>
          </w:tcPr>
          <w:p w:rsidR="00566DD8" w:rsidRPr="00E93722" w:rsidRDefault="00566DD8" w:rsidP="00E93722">
            <w:pPr>
              <w:jc w:val="both"/>
              <w:rPr>
                <w:rFonts w:ascii="Times New Roman" w:hAnsi="Times New Roman" w:cs="Times New Roman"/>
              </w:rPr>
            </w:pPr>
          </w:p>
        </w:tc>
      </w:tr>
      <w:tr w:rsidR="00566DD8" w:rsidRPr="00E93722" w:rsidTr="009F08FC">
        <w:tc>
          <w:tcPr>
            <w:tcW w:w="4531" w:type="dxa"/>
          </w:tcPr>
          <w:p w:rsidR="00566DD8" w:rsidRPr="00E93722" w:rsidRDefault="00566DD8" w:rsidP="00E93722">
            <w:pPr>
              <w:jc w:val="both"/>
              <w:rPr>
                <w:rFonts w:ascii="Times New Roman" w:hAnsi="Times New Roman" w:cs="Times New Roman"/>
                <w:b/>
              </w:rPr>
            </w:pPr>
            <w:r w:rsidRPr="00E93722">
              <w:rPr>
                <w:rFonts w:ascii="Times New Roman" w:hAnsi="Times New Roman" w:cs="Times New Roman"/>
                <w:b/>
              </w:rPr>
              <w:t xml:space="preserve">Aktywa ogółem </w:t>
            </w:r>
          </w:p>
        </w:tc>
        <w:tc>
          <w:tcPr>
            <w:tcW w:w="4531" w:type="dxa"/>
          </w:tcPr>
          <w:p w:rsidR="00566DD8" w:rsidRPr="00E93722" w:rsidRDefault="00566DD8" w:rsidP="00E93722">
            <w:pPr>
              <w:jc w:val="both"/>
              <w:rPr>
                <w:rFonts w:ascii="Times New Roman" w:hAnsi="Times New Roman" w:cs="Times New Roman"/>
                <w:b/>
              </w:rPr>
            </w:pPr>
            <w:r w:rsidRPr="00E93722">
              <w:rPr>
                <w:rFonts w:ascii="Times New Roman" w:hAnsi="Times New Roman" w:cs="Times New Roman"/>
                <w:b/>
              </w:rPr>
              <w:t>105</w:t>
            </w:r>
          </w:p>
        </w:tc>
      </w:tr>
      <w:tr w:rsidR="00566DD8" w:rsidRPr="00E93722" w:rsidTr="009F08FC">
        <w:tc>
          <w:tcPr>
            <w:tcW w:w="4531" w:type="dxa"/>
            <w:shd w:val="clear" w:color="auto" w:fill="FFD966" w:themeFill="accent4" w:themeFillTint="99"/>
          </w:tcPr>
          <w:p w:rsidR="00566DD8" w:rsidRPr="00E93722" w:rsidRDefault="00566DD8" w:rsidP="00E93722">
            <w:pPr>
              <w:jc w:val="both"/>
              <w:rPr>
                <w:rFonts w:ascii="Times New Roman" w:hAnsi="Times New Roman" w:cs="Times New Roman"/>
                <w:b/>
              </w:rPr>
            </w:pPr>
            <w:r w:rsidRPr="00E93722">
              <w:rPr>
                <w:rFonts w:ascii="Times New Roman" w:hAnsi="Times New Roman" w:cs="Times New Roman"/>
                <w:b/>
              </w:rPr>
              <w:t>Pasywa</w:t>
            </w:r>
          </w:p>
        </w:tc>
        <w:tc>
          <w:tcPr>
            <w:tcW w:w="4531" w:type="dxa"/>
            <w:shd w:val="clear" w:color="auto" w:fill="FFD966" w:themeFill="accent4" w:themeFillTint="99"/>
          </w:tcPr>
          <w:p w:rsidR="00566DD8" w:rsidRPr="00E93722" w:rsidRDefault="00566DD8" w:rsidP="00E93722">
            <w:pPr>
              <w:jc w:val="both"/>
              <w:rPr>
                <w:rFonts w:ascii="Times New Roman" w:hAnsi="Times New Roman" w:cs="Times New Roman"/>
              </w:rPr>
            </w:pPr>
          </w:p>
        </w:tc>
      </w:tr>
      <w:tr w:rsidR="00566DD8" w:rsidRPr="00E93722" w:rsidTr="009F08FC">
        <w:tc>
          <w:tcPr>
            <w:tcW w:w="4531" w:type="dxa"/>
          </w:tcPr>
          <w:p w:rsidR="00566DD8" w:rsidRPr="00E93722" w:rsidRDefault="00566DD8" w:rsidP="00E93722">
            <w:pPr>
              <w:jc w:val="both"/>
              <w:rPr>
                <w:rFonts w:ascii="Times New Roman" w:hAnsi="Times New Roman" w:cs="Times New Roman"/>
              </w:rPr>
            </w:pPr>
            <w:r w:rsidRPr="00E93722">
              <w:rPr>
                <w:rFonts w:ascii="Times New Roman" w:hAnsi="Times New Roman" w:cs="Times New Roman"/>
              </w:rPr>
              <w:t>Kapitał zakładowy</w:t>
            </w:r>
          </w:p>
        </w:tc>
        <w:tc>
          <w:tcPr>
            <w:tcW w:w="4531" w:type="dxa"/>
          </w:tcPr>
          <w:p w:rsidR="00566DD8" w:rsidRPr="00E93722" w:rsidRDefault="00566DD8" w:rsidP="00E93722">
            <w:pPr>
              <w:jc w:val="both"/>
              <w:rPr>
                <w:rFonts w:ascii="Times New Roman" w:hAnsi="Times New Roman" w:cs="Times New Roman"/>
              </w:rPr>
            </w:pPr>
            <w:r w:rsidRPr="00E93722">
              <w:rPr>
                <w:rFonts w:ascii="Times New Roman" w:hAnsi="Times New Roman" w:cs="Times New Roman"/>
              </w:rPr>
              <w:t>40</w:t>
            </w:r>
          </w:p>
        </w:tc>
      </w:tr>
      <w:tr w:rsidR="00566DD8" w:rsidRPr="00E93722" w:rsidTr="009F08FC">
        <w:tc>
          <w:tcPr>
            <w:tcW w:w="4531" w:type="dxa"/>
          </w:tcPr>
          <w:p w:rsidR="00566DD8" w:rsidRPr="00E93722" w:rsidRDefault="00566DD8" w:rsidP="00E93722">
            <w:pPr>
              <w:jc w:val="both"/>
              <w:rPr>
                <w:rFonts w:ascii="Times New Roman" w:hAnsi="Times New Roman" w:cs="Times New Roman"/>
              </w:rPr>
            </w:pPr>
            <w:r w:rsidRPr="00E93722">
              <w:rPr>
                <w:rFonts w:ascii="Times New Roman" w:hAnsi="Times New Roman" w:cs="Times New Roman"/>
              </w:rPr>
              <w:t>Zyski zatrzymane</w:t>
            </w:r>
          </w:p>
        </w:tc>
        <w:tc>
          <w:tcPr>
            <w:tcW w:w="4531" w:type="dxa"/>
          </w:tcPr>
          <w:p w:rsidR="00566DD8" w:rsidRPr="00E93722" w:rsidRDefault="00566DD8" w:rsidP="00E93722">
            <w:pPr>
              <w:jc w:val="both"/>
              <w:rPr>
                <w:rFonts w:ascii="Times New Roman" w:hAnsi="Times New Roman" w:cs="Times New Roman"/>
              </w:rPr>
            </w:pPr>
            <w:r w:rsidRPr="00E93722">
              <w:rPr>
                <w:rFonts w:ascii="Times New Roman" w:hAnsi="Times New Roman" w:cs="Times New Roman"/>
              </w:rPr>
              <w:t>27</w:t>
            </w:r>
          </w:p>
        </w:tc>
      </w:tr>
      <w:tr w:rsidR="00566DD8" w:rsidRPr="00E93722" w:rsidTr="009F08FC">
        <w:tc>
          <w:tcPr>
            <w:tcW w:w="4531" w:type="dxa"/>
          </w:tcPr>
          <w:p w:rsidR="00566DD8" w:rsidRPr="00E93722" w:rsidRDefault="00566DD8" w:rsidP="00E93722">
            <w:pPr>
              <w:jc w:val="both"/>
              <w:rPr>
                <w:rFonts w:ascii="Times New Roman" w:hAnsi="Times New Roman" w:cs="Times New Roman"/>
              </w:rPr>
            </w:pPr>
            <w:r w:rsidRPr="00E93722">
              <w:rPr>
                <w:rFonts w:ascii="Times New Roman" w:hAnsi="Times New Roman" w:cs="Times New Roman"/>
              </w:rPr>
              <w:t xml:space="preserve">Kapitał własny ogółem </w:t>
            </w:r>
          </w:p>
        </w:tc>
        <w:tc>
          <w:tcPr>
            <w:tcW w:w="4531" w:type="dxa"/>
          </w:tcPr>
          <w:p w:rsidR="00566DD8" w:rsidRPr="00E93722" w:rsidRDefault="00566DD8" w:rsidP="00E93722">
            <w:pPr>
              <w:jc w:val="both"/>
              <w:rPr>
                <w:rFonts w:ascii="Times New Roman" w:hAnsi="Times New Roman" w:cs="Times New Roman"/>
              </w:rPr>
            </w:pPr>
            <w:r w:rsidRPr="00E93722">
              <w:rPr>
                <w:rFonts w:ascii="Times New Roman" w:hAnsi="Times New Roman" w:cs="Times New Roman"/>
              </w:rPr>
              <w:t>67</w:t>
            </w:r>
          </w:p>
        </w:tc>
      </w:tr>
      <w:tr w:rsidR="00566DD8" w:rsidRPr="00E93722" w:rsidTr="009F08FC">
        <w:tc>
          <w:tcPr>
            <w:tcW w:w="4531" w:type="dxa"/>
          </w:tcPr>
          <w:p w:rsidR="00566DD8" w:rsidRPr="00E93722" w:rsidRDefault="00566DD8" w:rsidP="00E93722">
            <w:pPr>
              <w:jc w:val="both"/>
              <w:rPr>
                <w:rFonts w:ascii="Times New Roman" w:hAnsi="Times New Roman" w:cs="Times New Roman"/>
              </w:rPr>
            </w:pPr>
            <w:r w:rsidRPr="00E93722">
              <w:rPr>
                <w:rFonts w:ascii="Times New Roman" w:hAnsi="Times New Roman" w:cs="Times New Roman"/>
              </w:rPr>
              <w:t xml:space="preserve">Zobowiązania długoterminowe </w:t>
            </w:r>
          </w:p>
        </w:tc>
        <w:tc>
          <w:tcPr>
            <w:tcW w:w="4531" w:type="dxa"/>
          </w:tcPr>
          <w:p w:rsidR="00566DD8" w:rsidRPr="00E93722" w:rsidRDefault="00566DD8" w:rsidP="00E93722">
            <w:pPr>
              <w:jc w:val="both"/>
              <w:rPr>
                <w:rFonts w:ascii="Times New Roman" w:hAnsi="Times New Roman" w:cs="Times New Roman"/>
              </w:rPr>
            </w:pPr>
          </w:p>
        </w:tc>
      </w:tr>
      <w:tr w:rsidR="00566DD8" w:rsidRPr="00E93722" w:rsidTr="009F08FC">
        <w:tc>
          <w:tcPr>
            <w:tcW w:w="4531" w:type="dxa"/>
          </w:tcPr>
          <w:p w:rsidR="00566DD8" w:rsidRPr="00E93722" w:rsidRDefault="00566DD8" w:rsidP="00E93722">
            <w:pPr>
              <w:jc w:val="both"/>
              <w:rPr>
                <w:rFonts w:ascii="Times New Roman" w:hAnsi="Times New Roman" w:cs="Times New Roman"/>
              </w:rPr>
            </w:pPr>
            <w:r w:rsidRPr="00E93722">
              <w:rPr>
                <w:rFonts w:ascii="Times New Roman" w:hAnsi="Times New Roman" w:cs="Times New Roman"/>
              </w:rPr>
              <w:t xml:space="preserve">Kredyty długoterminowe </w:t>
            </w:r>
          </w:p>
        </w:tc>
        <w:tc>
          <w:tcPr>
            <w:tcW w:w="4531" w:type="dxa"/>
          </w:tcPr>
          <w:p w:rsidR="00566DD8" w:rsidRPr="00E93722" w:rsidRDefault="00566DD8" w:rsidP="00E93722">
            <w:pPr>
              <w:jc w:val="both"/>
              <w:rPr>
                <w:rFonts w:ascii="Times New Roman" w:hAnsi="Times New Roman" w:cs="Times New Roman"/>
              </w:rPr>
            </w:pPr>
            <w:r w:rsidRPr="00E93722">
              <w:rPr>
                <w:rFonts w:ascii="Times New Roman" w:hAnsi="Times New Roman" w:cs="Times New Roman"/>
              </w:rPr>
              <w:t>18</w:t>
            </w:r>
          </w:p>
        </w:tc>
      </w:tr>
      <w:tr w:rsidR="00566DD8" w:rsidRPr="00E93722" w:rsidTr="009F08FC">
        <w:tc>
          <w:tcPr>
            <w:tcW w:w="4531" w:type="dxa"/>
          </w:tcPr>
          <w:p w:rsidR="00566DD8" w:rsidRPr="00E93722" w:rsidRDefault="00566DD8" w:rsidP="00E93722">
            <w:pPr>
              <w:jc w:val="both"/>
              <w:rPr>
                <w:rFonts w:ascii="Times New Roman" w:hAnsi="Times New Roman" w:cs="Times New Roman"/>
              </w:rPr>
            </w:pPr>
            <w:r w:rsidRPr="00E93722">
              <w:rPr>
                <w:rFonts w:ascii="Times New Roman" w:hAnsi="Times New Roman" w:cs="Times New Roman"/>
              </w:rPr>
              <w:t xml:space="preserve">Zobowiązania krótkoterminowe </w:t>
            </w:r>
          </w:p>
        </w:tc>
        <w:tc>
          <w:tcPr>
            <w:tcW w:w="4531" w:type="dxa"/>
          </w:tcPr>
          <w:p w:rsidR="00566DD8" w:rsidRPr="00E93722" w:rsidRDefault="00566DD8" w:rsidP="00E93722">
            <w:pPr>
              <w:jc w:val="both"/>
              <w:rPr>
                <w:rFonts w:ascii="Times New Roman" w:hAnsi="Times New Roman" w:cs="Times New Roman"/>
              </w:rPr>
            </w:pPr>
          </w:p>
        </w:tc>
      </w:tr>
      <w:tr w:rsidR="00566DD8" w:rsidRPr="00E93722" w:rsidTr="009F08FC">
        <w:tc>
          <w:tcPr>
            <w:tcW w:w="4531" w:type="dxa"/>
          </w:tcPr>
          <w:p w:rsidR="00566DD8" w:rsidRPr="00E93722" w:rsidRDefault="00566DD8" w:rsidP="00E93722">
            <w:pPr>
              <w:jc w:val="both"/>
              <w:rPr>
                <w:rFonts w:ascii="Times New Roman" w:hAnsi="Times New Roman" w:cs="Times New Roman"/>
              </w:rPr>
            </w:pPr>
            <w:r w:rsidRPr="00E93722">
              <w:rPr>
                <w:rFonts w:ascii="Times New Roman" w:hAnsi="Times New Roman" w:cs="Times New Roman"/>
              </w:rPr>
              <w:t>Zobowiązania handlowe</w:t>
            </w:r>
          </w:p>
        </w:tc>
        <w:tc>
          <w:tcPr>
            <w:tcW w:w="4531" w:type="dxa"/>
          </w:tcPr>
          <w:p w:rsidR="00566DD8" w:rsidRPr="00E93722" w:rsidRDefault="00566DD8" w:rsidP="00E93722">
            <w:pPr>
              <w:jc w:val="both"/>
              <w:rPr>
                <w:rFonts w:ascii="Times New Roman" w:hAnsi="Times New Roman" w:cs="Times New Roman"/>
              </w:rPr>
            </w:pPr>
            <w:r w:rsidRPr="00E93722">
              <w:rPr>
                <w:rFonts w:ascii="Times New Roman" w:hAnsi="Times New Roman" w:cs="Times New Roman"/>
              </w:rPr>
              <w:t>20</w:t>
            </w:r>
          </w:p>
        </w:tc>
      </w:tr>
      <w:tr w:rsidR="00566DD8" w:rsidRPr="00E93722" w:rsidTr="009F08FC">
        <w:tc>
          <w:tcPr>
            <w:tcW w:w="4531" w:type="dxa"/>
          </w:tcPr>
          <w:p w:rsidR="00566DD8" w:rsidRPr="00E93722" w:rsidRDefault="00566DD8" w:rsidP="00E93722">
            <w:pPr>
              <w:jc w:val="both"/>
              <w:rPr>
                <w:rFonts w:ascii="Times New Roman" w:hAnsi="Times New Roman" w:cs="Times New Roman"/>
              </w:rPr>
            </w:pPr>
            <w:r w:rsidRPr="00E93722">
              <w:rPr>
                <w:rFonts w:ascii="Times New Roman" w:hAnsi="Times New Roman" w:cs="Times New Roman"/>
              </w:rPr>
              <w:t xml:space="preserve">Zobowiązania ogółem </w:t>
            </w:r>
          </w:p>
        </w:tc>
        <w:tc>
          <w:tcPr>
            <w:tcW w:w="4531" w:type="dxa"/>
          </w:tcPr>
          <w:p w:rsidR="00566DD8" w:rsidRPr="00E93722" w:rsidRDefault="00566DD8" w:rsidP="00E93722">
            <w:pPr>
              <w:jc w:val="both"/>
              <w:rPr>
                <w:rFonts w:ascii="Times New Roman" w:hAnsi="Times New Roman" w:cs="Times New Roman"/>
              </w:rPr>
            </w:pPr>
            <w:r w:rsidRPr="00E93722">
              <w:rPr>
                <w:rFonts w:ascii="Times New Roman" w:hAnsi="Times New Roman" w:cs="Times New Roman"/>
              </w:rPr>
              <w:t>38</w:t>
            </w:r>
          </w:p>
        </w:tc>
      </w:tr>
      <w:tr w:rsidR="00566DD8" w:rsidRPr="00E93722" w:rsidTr="009F08FC">
        <w:tc>
          <w:tcPr>
            <w:tcW w:w="4531" w:type="dxa"/>
          </w:tcPr>
          <w:p w:rsidR="00566DD8" w:rsidRPr="00E93722" w:rsidRDefault="00566DD8" w:rsidP="00E93722">
            <w:pPr>
              <w:jc w:val="both"/>
              <w:rPr>
                <w:rFonts w:ascii="Times New Roman" w:hAnsi="Times New Roman" w:cs="Times New Roman"/>
              </w:rPr>
            </w:pPr>
            <w:r w:rsidRPr="00E93722">
              <w:rPr>
                <w:rFonts w:ascii="Times New Roman" w:hAnsi="Times New Roman" w:cs="Times New Roman"/>
                <w:b/>
              </w:rPr>
              <w:t>Pasywa ogółem</w:t>
            </w:r>
          </w:p>
        </w:tc>
        <w:tc>
          <w:tcPr>
            <w:tcW w:w="4531" w:type="dxa"/>
          </w:tcPr>
          <w:p w:rsidR="00566DD8" w:rsidRPr="00E93722" w:rsidRDefault="00566DD8" w:rsidP="00E93722">
            <w:pPr>
              <w:jc w:val="both"/>
              <w:rPr>
                <w:rFonts w:ascii="Times New Roman" w:hAnsi="Times New Roman" w:cs="Times New Roman"/>
                <w:b/>
              </w:rPr>
            </w:pPr>
            <w:r w:rsidRPr="00E93722">
              <w:rPr>
                <w:rFonts w:ascii="Times New Roman" w:hAnsi="Times New Roman" w:cs="Times New Roman"/>
                <w:b/>
              </w:rPr>
              <w:t>105</w:t>
            </w:r>
          </w:p>
        </w:tc>
      </w:tr>
    </w:tbl>
    <w:p w:rsidR="00566DD8" w:rsidRPr="00E93722" w:rsidRDefault="00566DD8" w:rsidP="00E93722">
      <w:pPr>
        <w:spacing w:after="0" w:line="240" w:lineRule="auto"/>
        <w:jc w:val="both"/>
        <w:rPr>
          <w:rFonts w:ascii="Times New Roman" w:hAnsi="Times New Roman" w:cs="Times New Roman"/>
        </w:rPr>
      </w:pPr>
    </w:p>
    <w:p w:rsidR="00566DD8" w:rsidRPr="00E93722" w:rsidRDefault="00566DD8" w:rsidP="00E93722">
      <w:pPr>
        <w:pStyle w:val="BodyText"/>
        <w:spacing w:after="0" w:line="240" w:lineRule="auto"/>
        <w:jc w:val="both"/>
        <w:rPr>
          <w:rFonts w:ascii="Times New Roman" w:hAnsi="Times New Roman" w:cs="Times New Roman"/>
        </w:rPr>
      </w:pPr>
      <w:r w:rsidRPr="00E93722">
        <w:rPr>
          <w:rFonts w:ascii="Times New Roman" w:hAnsi="Times New Roman" w:cs="Times New Roman"/>
        </w:rPr>
        <w:t xml:space="preserve">MAT Co wypłacił następujące dywidendy w ostatnich latach: </w:t>
      </w:r>
    </w:p>
    <w:p w:rsidR="00566DD8" w:rsidRPr="00E93722" w:rsidRDefault="00566DD8" w:rsidP="00E93722">
      <w:pPr>
        <w:pStyle w:val="List"/>
        <w:spacing w:after="0" w:line="240" w:lineRule="auto"/>
        <w:contextualSpacing w:val="0"/>
        <w:jc w:val="both"/>
        <w:rPr>
          <w:rFonts w:ascii="Times New Roman" w:hAnsi="Times New Roman" w:cs="Times New Roman"/>
        </w:rPr>
      </w:pPr>
      <w:r w:rsidRPr="00E93722">
        <w:rPr>
          <w:rFonts w:ascii="Times New Roman" w:hAnsi="Times New Roman" w:cs="Times New Roman"/>
        </w:rPr>
        <w:t>2008 –</w:t>
      </w:r>
      <w:r w:rsidRPr="00E93722">
        <w:rPr>
          <w:rFonts w:ascii="Times New Roman" w:hAnsi="Times New Roman" w:cs="Times New Roman"/>
        </w:rPr>
        <w:tab/>
        <w:t>4.1 centa</w:t>
      </w:r>
    </w:p>
    <w:p w:rsidR="00566DD8" w:rsidRPr="00E93722" w:rsidRDefault="00566DD8" w:rsidP="00E93722">
      <w:pPr>
        <w:pStyle w:val="List"/>
        <w:spacing w:after="0" w:line="240" w:lineRule="auto"/>
        <w:contextualSpacing w:val="0"/>
        <w:jc w:val="both"/>
        <w:rPr>
          <w:rFonts w:ascii="Times New Roman" w:hAnsi="Times New Roman" w:cs="Times New Roman"/>
        </w:rPr>
      </w:pPr>
      <w:r w:rsidRPr="00E93722">
        <w:rPr>
          <w:rFonts w:ascii="Times New Roman" w:hAnsi="Times New Roman" w:cs="Times New Roman"/>
        </w:rPr>
        <w:t>2009 –</w:t>
      </w:r>
      <w:r w:rsidRPr="00E93722">
        <w:rPr>
          <w:rFonts w:ascii="Times New Roman" w:hAnsi="Times New Roman" w:cs="Times New Roman"/>
        </w:rPr>
        <w:tab/>
        <w:t>4.3 centa</w:t>
      </w:r>
    </w:p>
    <w:p w:rsidR="00566DD8" w:rsidRPr="00E93722" w:rsidRDefault="00566DD8" w:rsidP="00E93722">
      <w:pPr>
        <w:pStyle w:val="List"/>
        <w:spacing w:after="0" w:line="240" w:lineRule="auto"/>
        <w:contextualSpacing w:val="0"/>
        <w:jc w:val="both"/>
        <w:rPr>
          <w:rFonts w:ascii="Times New Roman" w:hAnsi="Times New Roman" w:cs="Times New Roman"/>
        </w:rPr>
      </w:pPr>
      <w:r w:rsidRPr="00E93722">
        <w:rPr>
          <w:rFonts w:ascii="Times New Roman" w:hAnsi="Times New Roman" w:cs="Times New Roman"/>
        </w:rPr>
        <w:t>2010 –</w:t>
      </w:r>
      <w:r w:rsidRPr="00E93722">
        <w:rPr>
          <w:rFonts w:ascii="Times New Roman" w:hAnsi="Times New Roman" w:cs="Times New Roman"/>
        </w:rPr>
        <w:tab/>
        <w:t xml:space="preserve">4.7 centa </w:t>
      </w:r>
    </w:p>
    <w:p w:rsidR="00566DD8" w:rsidRPr="00E93722" w:rsidRDefault="00566DD8" w:rsidP="00E93722">
      <w:pPr>
        <w:pStyle w:val="List"/>
        <w:spacing w:after="0" w:line="240" w:lineRule="auto"/>
        <w:contextualSpacing w:val="0"/>
        <w:jc w:val="both"/>
        <w:rPr>
          <w:rFonts w:ascii="Times New Roman" w:hAnsi="Times New Roman" w:cs="Times New Roman"/>
        </w:rPr>
      </w:pPr>
      <w:r w:rsidRPr="00E93722">
        <w:rPr>
          <w:rFonts w:ascii="Times New Roman" w:hAnsi="Times New Roman" w:cs="Times New Roman"/>
        </w:rPr>
        <w:t>prognoza 2011 – 5.0 cens</w:t>
      </w:r>
    </w:p>
    <w:p w:rsidR="00566DD8" w:rsidRPr="00E93722" w:rsidRDefault="00566DD8" w:rsidP="00E93722">
      <w:pPr>
        <w:pStyle w:val="BodyText"/>
        <w:spacing w:after="0" w:line="240" w:lineRule="auto"/>
        <w:jc w:val="both"/>
        <w:rPr>
          <w:rFonts w:ascii="Times New Roman" w:hAnsi="Times New Roman" w:cs="Times New Roman"/>
        </w:rPr>
      </w:pPr>
      <w:r w:rsidRPr="00E93722">
        <w:rPr>
          <w:rFonts w:ascii="Times New Roman" w:hAnsi="Times New Roman" w:cs="Times New Roman"/>
        </w:rPr>
        <w:t xml:space="preserve">Od ostatniego bilansu, spółka zadeklarowała dywidendę 5 centów która zostanie wypłacona wkrótce. Akcje zwykłe spółki mają wartość nominalną na poziomie 25 centów i wartość rynkową na poziomie  66 centów na akcję. Beta kapitału jest oszacowana na poziomie 1.15. Przed uwzględnieniem potencjalnych źródeł finansowania, dyrektorzy MAT Co chcieliby przyjrzeć się wartości spółki. </w:t>
      </w:r>
    </w:p>
    <w:p w:rsidR="00566DD8" w:rsidRPr="00E93722" w:rsidRDefault="00566DD8" w:rsidP="00E93722">
      <w:pPr>
        <w:pStyle w:val="BodyText"/>
        <w:spacing w:after="0" w:line="240" w:lineRule="auto"/>
        <w:jc w:val="both"/>
        <w:rPr>
          <w:rFonts w:ascii="Times New Roman" w:hAnsi="Times New Roman" w:cs="Times New Roman"/>
        </w:rPr>
      </w:pPr>
      <w:r w:rsidRPr="00E93722">
        <w:rPr>
          <w:rFonts w:ascii="Times New Roman" w:hAnsi="Times New Roman" w:cs="Times New Roman"/>
        </w:rPr>
        <w:t>Zwrot z obligacji rządowych jest obecnie na poziomie 5% i premia za ryzyko kapitałowe wynosi 8%.</w:t>
      </w:r>
    </w:p>
    <w:p w:rsidR="00566DD8" w:rsidRPr="00E93722" w:rsidRDefault="00566DD8" w:rsidP="00E93722">
      <w:pPr>
        <w:pStyle w:val="BodyText"/>
        <w:spacing w:after="0" w:line="240" w:lineRule="auto"/>
        <w:jc w:val="both"/>
        <w:rPr>
          <w:rFonts w:ascii="Times New Roman" w:hAnsi="Times New Roman" w:cs="Times New Roman"/>
        </w:rPr>
      </w:pPr>
      <w:r w:rsidRPr="00E93722">
        <w:rPr>
          <w:rFonts w:ascii="Times New Roman" w:hAnsi="Times New Roman" w:cs="Times New Roman"/>
        </w:rPr>
        <w:t xml:space="preserve">Wymagane: </w:t>
      </w:r>
    </w:p>
    <w:p w:rsidR="00566DD8" w:rsidRPr="00E93722" w:rsidRDefault="00566DD8" w:rsidP="00E93722">
      <w:pPr>
        <w:pStyle w:val="List"/>
        <w:spacing w:after="0" w:line="240" w:lineRule="auto"/>
        <w:contextualSpacing w:val="0"/>
        <w:jc w:val="both"/>
        <w:rPr>
          <w:rFonts w:ascii="Times New Roman" w:hAnsi="Times New Roman" w:cs="Times New Roman"/>
        </w:rPr>
      </w:pPr>
      <w:r w:rsidRPr="00E93722">
        <w:rPr>
          <w:rFonts w:ascii="Times New Roman" w:hAnsi="Times New Roman" w:cs="Times New Roman"/>
        </w:rPr>
        <w:t>(a)</w:t>
      </w:r>
      <w:r w:rsidRPr="00E93722">
        <w:rPr>
          <w:rFonts w:ascii="Times New Roman" w:hAnsi="Times New Roman" w:cs="Times New Roman"/>
        </w:rPr>
        <w:tab/>
        <w:t xml:space="preserve">Oblicz wartość całego kapitału MAT Co używając modelu wzrostu dywidend. </w:t>
      </w:r>
    </w:p>
    <w:p w:rsidR="00566DD8" w:rsidRPr="00E93722" w:rsidRDefault="00566DD8" w:rsidP="00E93722">
      <w:pPr>
        <w:pStyle w:val="List"/>
        <w:spacing w:after="0" w:line="240" w:lineRule="auto"/>
        <w:contextualSpacing w:val="0"/>
        <w:jc w:val="both"/>
        <w:rPr>
          <w:rFonts w:ascii="Times New Roman" w:hAnsi="Times New Roman" w:cs="Times New Roman"/>
        </w:rPr>
      </w:pPr>
      <w:r w:rsidRPr="00E93722">
        <w:rPr>
          <w:rFonts w:ascii="Times New Roman" w:hAnsi="Times New Roman" w:cs="Times New Roman"/>
        </w:rPr>
        <w:t>(b)</w:t>
      </w:r>
      <w:r w:rsidRPr="00E93722">
        <w:rPr>
          <w:rFonts w:ascii="Times New Roman" w:hAnsi="Times New Roman" w:cs="Times New Roman"/>
        </w:rPr>
        <w:tab/>
        <w:t>Skomentuj istotność obliczonej wartości całego kapitału porównywając do całej wartości rynkowej kapitału spółki.</w:t>
      </w:r>
    </w:p>
    <w:p w:rsidR="00566DD8" w:rsidRPr="00E93722" w:rsidRDefault="00566DD8" w:rsidP="00E93722">
      <w:pPr>
        <w:pStyle w:val="List"/>
        <w:spacing w:after="0" w:line="240" w:lineRule="auto"/>
        <w:contextualSpacing w:val="0"/>
        <w:jc w:val="both"/>
        <w:rPr>
          <w:rFonts w:ascii="Times New Roman" w:hAnsi="Times New Roman" w:cs="Times New Roman"/>
        </w:rPr>
      </w:pPr>
      <w:r w:rsidRPr="00E93722">
        <w:rPr>
          <w:rFonts w:ascii="Times New Roman" w:hAnsi="Times New Roman" w:cs="Times New Roman"/>
        </w:rPr>
        <w:t>(c)</w:t>
      </w:r>
      <w:r w:rsidRPr="00E93722">
        <w:rPr>
          <w:rFonts w:ascii="Times New Roman" w:hAnsi="Times New Roman" w:cs="Times New Roman"/>
        </w:rPr>
        <w:tab/>
        <w:t xml:space="preserve">Wytłumacz dyrektorom MAT Co jakie czynniki/wskaźniki powinni wziąć pod uwagę analizując możliwość pozyskania dodatkowego kapitału poza firmą (dodatkowego finansowania). </w:t>
      </w:r>
    </w:p>
    <w:p w:rsidR="00566DD8" w:rsidRPr="00E93722" w:rsidRDefault="00566DD8" w:rsidP="00E93722">
      <w:pPr>
        <w:spacing w:after="0" w:line="240" w:lineRule="auto"/>
        <w:jc w:val="both"/>
        <w:rPr>
          <w:rFonts w:ascii="Times New Roman" w:hAnsi="Times New Roman" w:cs="Times New Roman"/>
        </w:rPr>
      </w:pPr>
    </w:p>
    <w:p w:rsidR="00566DD8" w:rsidRPr="00E93722" w:rsidRDefault="00566DD8" w:rsidP="00E93722">
      <w:pPr>
        <w:pStyle w:val="Heading1"/>
        <w:spacing w:before="0" w:line="240" w:lineRule="auto"/>
        <w:jc w:val="both"/>
        <w:rPr>
          <w:rFonts w:ascii="Times New Roman" w:hAnsi="Times New Roman" w:cs="Times New Roman"/>
          <w:sz w:val="22"/>
          <w:szCs w:val="22"/>
        </w:rPr>
      </w:pPr>
      <w:r w:rsidRPr="00E93722">
        <w:rPr>
          <w:rFonts w:ascii="Times New Roman" w:hAnsi="Times New Roman" w:cs="Times New Roman"/>
          <w:sz w:val="22"/>
          <w:szCs w:val="22"/>
        </w:rPr>
        <w:t xml:space="preserve">ODPOWIEDŹ: </w:t>
      </w:r>
    </w:p>
    <w:p w:rsidR="00566DD8" w:rsidRPr="00E93722" w:rsidRDefault="00566DD8" w:rsidP="00E93722">
      <w:pPr>
        <w:pStyle w:val="Heading2"/>
        <w:spacing w:before="0" w:line="240" w:lineRule="auto"/>
        <w:jc w:val="both"/>
        <w:rPr>
          <w:rFonts w:ascii="Times New Roman" w:hAnsi="Times New Roman" w:cs="Times New Roman"/>
          <w:sz w:val="22"/>
          <w:szCs w:val="22"/>
        </w:rPr>
      </w:pPr>
      <w:r w:rsidRPr="00E93722">
        <w:rPr>
          <w:rFonts w:ascii="Times New Roman" w:hAnsi="Times New Roman" w:cs="Times New Roman"/>
          <w:sz w:val="22"/>
          <w:szCs w:val="22"/>
        </w:rPr>
        <w:t>(a)</w:t>
      </w:r>
      <w:r w:rsidRPr="00E93722">
        <w:rPr>
          <w:rFonts w:ascii="Times New Roman" w:hAnsi="Times New Roman" w:cs="Times New Roman"/>
          <w:sz w:val="22"/>
          <w:szCs w:val="22"/>
        </w:rPr>
        <w:tab/>
        <w:t xml:space="preserve">Model zdyskontowanych dywidend </w:t>
      </w:r>
    </w:p>
    <w:p w:rsidR="00566DD8" w:rsidRPr="00E93722" w:rsidRDefault="00566DD8" w:rsidP="00E93722">
      <w:pPr>
        <w:pStyle w:val="BodyText"/>
        <w:spacing w:after="0" w:line="240" w:lineRule="auto"/>
        <w:jc w:val="both"/>
        <w:rPr>
          <w:rFonts w:ascii="Times New Roman" w:hAnsi="Times New Roman" w:cs="Times New Roman"/>
        </w:rPr>
      </w:pPr>
      <w:r w:rsidRPr="00E93722">
        <w:rPr>
          <w:rFonts w:ascii="Times New Roman" w:hAnsi="Times New Roman" w:cs="Times New Roman"/>
        </w:rPr>
        <w:t>wzór:</w:t>
      </w:r>
    </w:p>
    <w:p w:rsidR="00566DD8" w:rsidRPr="00E93722" w:rsidRDefault="00566DD8" w:rsidP="00E93722">
      <w:pPr>
        <w:pStyle w:val="Heading3"/>
        <w:spacing w:before="0" w:line="240" w:lineRule="auto"/>
        <w:jc w:val="both"/>
        <w:rPr>
          <w:rFonts w:ascii="Times New Roman" w:hAnsi="Times New Roman" w:cs="Times New Roman"/>
          <w:sz w:val="22"/>
          <w:szCs w:val="22"/>
        </w:rPr>
      </w:pPr>
      <w:r w:rsidRPr="00E93722">
        <w:rPr>
          <w:rFonts w:ascii="Times New Roman" w:hAnsi="Times New Roman" w:cs="Times New Roman"/>
          <w:sz w:val="22"/>
          <w:szCs w:val="22"/>
        </w:rPr>
        <w:t xml:space="preserve">P(0) </w:t>
      </w:r>
      <m:oMath>
        <m:r>
          <w:rPr>
            <w:rFonts w:ascii="Cambria Math" w:hAnsi="Cambria Math" w:cs="Times New Roman"/>
            <w:sz w:val="22"/>
            <w:szCs w:val="22"/>
          </w:rPr>
          <m:t>=</m:t>
        </m:r>
        <m:f>
          <m:fPr>
            <m:ctrlPr>
              <w:rPr>
                <w:rFonts w:ascii="Cambria Math" w:hAnsi="Cambria Math" w:cs="Times New Roman"/>
                <w:sz w:val="22"/>
                <w:szCs w:val="22"/>
              </w:rPr>
            </m:ctrlPr>
          </m:fPr>
          <m:num>
            <m:r>
              <m:rPr>
                <m:sty m:val="p"/>
              </m:rPr>
              <w:rPr>
                <w:rFonts w:ascii="Cambria Math" w:hAnsi="Cambria Math" w:cs="Times New Roman"/>
                <w:sz w:val="22"/>
                <w:szCs w:val="22"/>
              </w:rPr>
              <m:t>D(0)(1+g)</m:t>
            </m:r>
          </m:num>
          <m:den>
            <m:r>
              <m:rPr>
                <m:sty m:val="p"/>
              </m:rPr>
              <w:rPr>
                <w:rFonts w:ascii="Cambria Math" w:hAnsi="Cambria Math" w:cs="Times New Roman"/>
                <w:sz w:val="22"/>
                <w:szCs w:val="22"/>
              </w:rPr>
              <m:t>(r</m:t>
            </m:r>
            <m:d>
              <m:dPr>
                <m:ctrlPr>
                  <w:rPr>
                    <w:rFonts w:ascii="Cambria Math" w:hAnsi="Cambria Math" w:cs="Times New Roman"/>
                    <w:sz w:val="22"/>
                    <w:szCs w:val="22"/>
                  </w:rPr>
                </m:ctrlPr>
              </m:dPr>
              <m:e>
                <m:r>
                  <m:rPr>
                    <m:sty m:val="p"/>
                  </m:rPr>
                  <w:rPr>
                    <w:rFonts w:ascii="Cambria Math" w:hAnsi="Cambria Math" w:cs="Times New Roman"/>
                    <w:sz w:val="22"/>
                    <w:szCs w:val="22"/>
                  </w:rPr>
                  <m:t>e</m:t>
                </m:r>
              </m:e>
            </m:d>
            <m:r>
              <w:rPr>
                <w:rFonts w:ascii="Cambria Math" w:hAnsi="Cambria Math" w:cs="Times New Roman"/>
                <w:sz w:val="22"/>
                <w:szCs w:val="22"/>
              </w:rPr>
              <m:t>-g)</m:t>
            </m:r>
          </m:den>
        </m:f>
      </m:oMath>
    </w:p>
    <w:p w:rsidR="00566DD8" w:rsidRPr="00E93722" w:rsidRDefault="00566DD8" w:rsidP="00E93722">
      <w:pPr>
        <w:pStyle w:val="BodyText"/>
        <w:spacing w:after="0" w:line="240" w:lineRule="auto"/>
        <w:jc w:val="both"/>
        <w:rPr>
          <w:rFonts w:ascii="Times New Roman" w:hAnsi="Times New Roman" w:cs="Times New Roman"/>
        </w:rPr>
      </w:pPr>
      <w:r w:rsidRPr="00E93722">
        <w:rPr>
          <w:rFonts w:ascii="Times New Roman" w:hAnsi="Times New Roman" w:cs="Times New Roman"/>
        </w:rPr>
        <w:t xml:space="preserve">Jak widzicie potrzebujemy do obliczenia P(0) czyli cenę akcji, D(0) czyli dywidendę oraz g czyli wzrost dywidendy oraz r(e) kosztu kapitału. </w:t>
      </w:r>
    </w:p>
    <w:p w:rsidR="00566DD8" w:rsidRPr="00E93722" w:rsidRDefault="00566DD8" w:rsidP="00E93722">
      <w:pPr>
        <w:pStyle w:val="BodyText"/>
        <w:spacing w:after="0" w:line="240" w:lineRule="auto"/>
        <w:jc w:val="both"/>
        <w:rPr>
          <w:rFonts w:ascii="Times New Roman" w:hAnsi="Times New Roman" w:cs="Times New Roman"/>
        </w:rPr>
      </w:pPr>
      <w:r w:rsidRPr="00E93722">
        <w:rPr>
          <w:rFonts w:ascii="Times New Roman" w:hAnsi="Times New Roman" w:cs="Times New Roman"/>
        </w:rPr>
        <w:t xml:space="preserve">By skalkulować koszt kapitału r(e) potrzebujemy użyć model CAPM, formuła: </w:t>
      </w:r>
    </w:p>
    <w:p w:rsidR="00566DD8" w:rsidRPr="00E93722" w:rsidRDefault="00566DD8" w:rsidP="00E93722">
      <w:pPr>
        <w:pStyle w:val="List"/>
        <w:spacing w:after="0" w:line="240" w:lineRule="auto"/>
        <w:contextualSpacing w:val="0"/>
        <w:jc w:val="both"/>
        <w:rPr>
          <w:rFonts w:ascii="Times New Roman" w:hAnsi="Times New Roman" w:cs="Times New Roman"/>
          <w:lang w:val="en-GB"/>
        </w:rPr>
      </w:pPr>
      <w:r w:rsidRPr="00E93722">
        <w:rPr>
          <w:rFonts w:ascii="Times New Roman" w:hAnsi="Times New Roman" w:cs="Times New Roman"/>
          <w:lang w:val="en-GB"/>
        </w:rPr>
        <w:t>E® = R(f) + beta * ( E(rm) - R(f) )</w:t>
      </w:r>
    </w:p>
    <w:p w:rsidR="00566DD8" w:rsidRPr="00E93722" w:rsidRDefault="00566DD8" w:rsidP="00E93722">
      <w:pPr>
        <w:pStyle w:val="List"/>
        <w:spacing w:after="0" w:line="240" w:lineRule="auto"/>
        <w:contextualSpacing w:val="0"/>
        <w:jc w:val="both"/>
        <w:rPr>
          <w:rFonts w:ascii="Times New Roman" w:hAnsi="Times New Roman" w:cs="Times New Roman"/>
        </w:rPr>
      </w:pPr>
      <w:r w:rsidRPr="00E93722">
        <w:rPr>
          <w:rFonts w:ascii="Times New Roman" w:hAnsi="Times New Roman" w:cs="Times New Roman"/>
        </w:rPr>
        <w:t>beta- oszacowana w zadaniu</w:t>
      </w:r>
    </w:p>
    <w:p w:rsidR="00566DD8" w:rsidRPr="00E93722" w:rsidRDefault="00566DD8" w:rsidP="00E93722">
      <w:pPr>
        <w:pStyle w:val="BodyText"/>
        <w:spacing w:after="0" w:line="240" w:lineRule="auto"/>
        <w:jc w:val="both"/>
        <w:rPr>
          <w:rFonts w:ascii="Times New Roman" w:hAnsi="Times New Roman" w:cs="Times New Roman"/>
        </w:rPr>
      </w:pPr>
      <w:r w:rsidRPr="00E93722">
        <w:rPr>
          <w:rFonts w:ascii="Times New Roman" w:hAnsi="Times New Roman" w:cs="Times New Roman"/>
        </w:rPr>
        <w:t xml:space="preserve">R(f) – stopa wolna od ryzyka czyli rentowność do wykupu obligacji skarbowych </w:t>
      </w:r>
    </w:p>
    <w:p w:rsidR="00566DD8" w:rsidRPr="00E93722" w:rsidRDefault="00566DD8" w:rsidP="00E93722">
      <w:pPr>
        <w:pStyle w:val="BodyText"/>
        <w:spacing w:after="0" w:line="240" w:lineRule="auto"/>
        <w:jc w:val="both"/>
        <w:rPr>
          <w:rFonts w:ascii="Times New Roman" w:hAnsi="Times New Roman" w:cs="Times New Roman"/>
        </w:rPr>
      </w:pPr>
      <w:r w:rsidRPr="00E93722">
        <w:rPr>
          <w:rFonts w:ascii="Times New Roman" w:hAnsi="Times New Roman" w:cs="Times New Roman"/>
        </w:rPr>
        <w:t xml:space="preserve">E(rm) – stopa zwrotu z rynku </w:t>
      </w:r>
    </w:p>
    <w:p w:rsidR="00566DD8" w:rsidRPr="00E93722" w:rsidRDefault="00566DD8" w:rsidP="00E93722">
      <w:pPr>
        <w:pStyle w:val="BodyText"/>
        <w:spacing w:after="0" w:line="240" w:lineRule="auto"/>
        <w:jc w:val="both"/>
        <w:rPr>
          <w:rFonts w:ascii="Times New Roman" w:hAnsi="Times New Roman" w:cs="Times New Roman"/>
        </w:rPr>
      </w:pPr>
      <w:r w:rsidRPr="00E93722">
        <w:rPr>
          <w:rFonts w:ascii="Times New Roman" w:hAnsi="Times New Roman" w:cs="Times New Roman"/>
        </w:rPr>
        <w:lastRenderedPageBreak/>
        <w:t>Czyli wstawiając otrzymujemy:</w:t>
      </w:r>
    </w:p>
    <w:p w:rsidR="00566DD8" w:rsidRPr="00E93722" w:rsidRDefault="00566DD8" w:rsidP="00E93722">
      <w:pPr>
        <w:pStyle w:val="BodyText"/>
        <w:spacing w:after="0" w:line="240" w:lineRule="auto"/>
        <w:jc w:val="both"/>
        <w:rPr>
          <w:rFonts w:ascii="Times New Roman" w:hAnsi="Times New Roman" w:cs="Times New Roman"/>
        </w:rPr>
      </w:pPr>
      <w:r w:rsidRPr="00E93722">
        <w:rPr>
          <w:rFonts w:ascii="Times New Roman" w:hAnsi="Times New Roman" w:cs="Times New Roman"/>
        </w:rPr>
        <w:t>r(e) = 5% + (1,15 x 8%) = 14,2%</w:t>
      </w:r>
    </w:p>
    <w:p w:rsidR="00566DD8" w:rsidRPr="00E93722" w:rsidRDefault="00566DD8" w:rsidP="00E93722">
      <w:pPr>
        <w:pStyle w:val="Heading4"/>
        <w:spacing w:before="0" w:line="240" w:lineRule="auto"/>
        <w:jc w:val="both"/>
        <w:rPr>
          <w:rFonts w:ascii="Times New Roman" w:eastAsiaTheme="minorEastAsia" w:hAnsi="Times New Roman" w:cs="Times New Roman"/>
        </w:rPr>
      </w:pPr>
      <w:r w:rsidRPr="00E93722">
        <w:rPr>
          <w:rFonts w:ascii="Times New Roman" w:hAnsi="Times New Roman" w:cs="Times New Roman"/>
        </w:rPr>
        <w:t xml:space="preserve">Roczny wzrost dywidendy (g) = </w:t>
      </w:r>
      <m:oMath>
        <m:rad>
          <m:radPr>
            <m:ctrlPr>
              <w:rPr>
                <w:rFonts w:ascii="Cambria Math" w:eastAsiaTheme="minorHAnsi" w:hAnsi="Cambria Math" w:cs="Times New Roman"/>
                <w:color w:val="auto"/>
              </w:rPr>
            </m:ctrlPr>
          </m:radPr>
          <m:deg>
            <m:r>
              <w:rPr>
                <w:rFonts w:ascii="Cambria Math" w:hAnsi="Cambria Math" w:cs="Times New Roman"/>
              </w:rPr>
              <m:t>n</m:t>
            </m:r>
          </m:deg>
          <m:e>
            <m:f>
              <m:fPr>
                <m:ctrlPr>
                  <w:rPr>
                    <w:rFonts w:ascii="Cambria Math" w:hAnsi="Cambria Math" w:cs="Times New Roman"/>
                  </w:rPr>
                </m:ctrlPr>
              </m:fPr>
              <m:num>
                <m:r>
                  <w:rPr>
                    <w:rFonts w:ascii="Cambria Math" w:hAnsi="Cambria Math" w:cs="Times New Roman"/>
                  </w:rPr>
                  <m:t xml:space="preserve">obecna dywidenda </m:t>
                </m:r>
              </m:num>
              <m:den>
                <m:r>
                  <w:rPr>
                    <w:rFonts w:ascii="Cambria Math" w:hAnsi="Cambria Math" w:cs="Times New Roman"/>
                  </w:rPr>
                  <m:t>dywidendy n lat wstecz</m:t>
                </m:r>
              </m:den>
            </m:f>
          </m:e>
        </m:rad>
        <m:r>
          <w:rPr>
            <w:rFonts w:ascii="Cambria Math" w:hAnsi="Cambria Math" w:cs="Times New Roman"/>
          </w:rPr>
          <m:t>-1</m:t>
        </m:r>
      </m:oMath>
    </w:p>
    <w:p w:rsidR="00566DD8" w:rsidRPr="00E93722" w:rsidRDefault="00566DD8" w:rsidP="00E93722">
      <w:pPr>
        <w:pStyle w:val="List"/>
        <w:spacing w:after="0" w:line="240" w:lineRule="auto"/>
        <w:contextualSpacing w:val="0"/>
        <w:jc w:val="both"/>
        <w:rPr>
          <w:rFonts w:ascii="Times New Roman" w:eastAsiaTheme="minorEastAsia" w:hAnsi="Times New Roman" w:cs="Times New Roman"/>
        </w:rPr>
      </w:pPr>
      <w:r w:rsidRPr="00E93722">
        <w:rPr>
          <w:rFonts w:ascii="Times New Roman" w:hAnsi="Times New Roman" w:cs="Times New Roman"/>
        </w:rPr>
        <w:t xml:space="preserve">g = </w:t>
      </w:r>
      <m:oMath>
        <m:rad>
          <m:radPr>
            <m:ctrlPr>
              <w:rPr>
                <w:rFonts w:ascii="Cambria Math" w:hAnsi="Cambria Math" w:cs="Times New Roman"/>
              </w:rPr>
            </m:ctrlPr>
          </m:radPr>
          <m:deg>
            <m:r>
              <m:rPr>
                <m:sty m:val="p"/>
              </m:rPr>
              <w:rPr>
                <w:rFonts w:ascii="Cambria Math" w:hAnsi="Cambria Math" w:cs="Times New Roman"/>
              </w:rPr>
              <m:t>3</m:t>
            </m:r>
          </m:deg>
          <m:e>
            <m:f>
              <m:fPr>
                <m:ctrlPr>
                  <w:rPr>
                    <w:rFonts w:ascii="Cambria Math" w:hAnsi="Cambria Math" w:cs="Times New Roman"/>
                  </w:rPr>
                </m:ctrlPr>
              </m:fPr>
              <m:num>
                <m:r>
                  <m:rPr>
                    <m:sty m:val="p"/>
                  </m:rPr>
                  <w:rPr>
                    <w:rFonts w:ascii="Cambria Math" w:hAnsi="Cambria Math" w:cs="Times New Roman"/>
                  </w:rPr>
                  <m:t>5.0</m:t>
                </m:r>
              </m:num>
              <m:den>
                <m:r>
                  <m:rPr>
                    <m:sty m:val="p"/>
                  </m:rPr>
                  <w:rPr>
                    <w:rFonts w:ascii="Cambria Math" w:hAnsi="Cambria Math" w:cs="Times New Roman"/>
                  </w:rPr>
                  <m:t>4.1</m:t>
                </m:r>
              </m:den>
            </m:f>
          </m:e>
        </m:rad>
        <m:r>
          <m:rPr>
            <m:sty m:val="p"/>
          </m:rPr>
          <w:rPr>
            <w:rFonts w:ascii="Cambria Math" w:hAnsi="Cambria Math" w:cs="Times New Roman"/>
          </w:rPr>
          <m:t>-1=0.684</m:t>
        </m:r>
      </m:oMath>
    </w:p>
    <w:p w:rsidR="00566DD8" w:rsidRPr="00E93722" w:rsidRDefault="00566DD8" w:rsidP="00E93722">
      <w:pPr>
        <w:pStyle w:val="List"/>
        <w:spacing w:after="0" w:line="240" w:lineRule="auto"/>
        <w:contextualSpacing w:val="0"/>
        <w:jc w:val="both"/>
        <w:rPr>
          <w:rFonts w:ascii="Times New Roman" w:hAnsi="Times New Roman" w:cs="Times New Roman"/>
        </w:rPr>
      </w:pPr>
      <w:r w:rsidRPr="00E93722">
        <w:rPr>
          <w:rFonts w:ascii="Times New Roman" w:hAnsi="Times New Roman" w:cs="Times New Roman"/>
        </w:rPr>
        <w:t xml:space="preserve">Wartość na akcje = </w:t>
      </w:r>
      <m:oMath>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5.0 x 1.0684</m:t>
            </m:r>
          </m:num>
          <m:den>
            <m:r>
              <m:rPr>
                <m:sty m:val="p"/>
              </m:rPr>
              <w:rPr>
                <w:rFonts w:ascii="Cambria Math" w:hAnsi="Cambria Math" w:cs="Times New Roman"/>
              </w:rPr>
              <m:t>0.142-0.0684</m:t>
            </m:r>
          </m:den>
        </m:f>
        <m:r>
          <w:rPr>
            <w:rFonts w:ascii="Cambria Math" w:hAnsi="Cambria Math" w:cs="Times New Roman"/>
          </w:rPr>
          <m:t>=72.6c</m:t>
        </m:r>
      </m:oMath>
    </w:p>
    <w:p w:rsidR="00566DD8" w:rsidRPr="00E93722" w:rsidRDefault="00566DD8" w:rsidP="00E93722">
      <w:pPr>
        <w:pStyle w:val="List"/>
        <w:spacing w:after="0" w:line="240" w:lineRule="auto"/>
        <w:contextualSpacing w:val="0"/>
        <w:jc w:val="both"/>
        <w:rPr>
          <w:rFonts w:ascii="Times New Roman" w:hAnsi="Times New Roman" w:cs="Times New Roman"/>
        </w:rPr>
      </w:pPr>
      <w:r w:rsidRPr="00E93722">
        <w:rPr>
          <w:rFonts w:ascii="Times New Roman" w:hAnsi="Times New Roman" w:cs="Times New Roman"/>
        </w:rPr>
        <w:t>Całkowita liczba akcji - 40mln $ / 0,25 = 160 mln</w:t>
      </w:r>
    </w:p>
    <w:p w:rsidR="00566DD8" w:rsidRPr="00E93722" w:rsidRDefault="00566DD8" w:rsidP="00E93722">
      <w:pPr>
        <w:pStyle w:val="List"/>
        <w:spacing w:after="0" w:line="240" w:lineRule="auto"/>
        <w:contextualSpacing w:val="0"/>
        <w:jc w:val="both"/>
        <w:rPr>
          <w:rFonts w:ascii="Times New Roman" w:hAnsi="Times New Roman" w:cs="Times New Roman"/>
        </w:rPr>
      </w:pPr>
      <w:r w:rsidRPr="00E93722">
        <w:rPr>
          <w:rFonts w:ascii="Times New Roman" w:hAnsi="Times New Roman" w:cs="Times New Roman"/>
        </w:rPr>
        <w:t>Całkowita wartość kapitału (ex dywidendy) – 160 mln x 0.726 = 116,1 mln</w:t>
      </w:r>
    </w:p>
    <w:p w:rsidR="00566DD8" w:rsidRPr="00E93722" w:rsidRDefault="00566DD8" w:rsidP="00E93722">
      <w:pPr>
        <w:spacing w:after="0" w:line="240" w:lineRule="auto"/>
        <w:jc w:val="both"/>
        <w:rPr>
          <w:rFonts w:ascii="Times New Roman" w:hAnsi="Times New Roman" w:cs="Times New Roman"/>
          <w:b/>
        </w:rPr>
      </w:pPr>
    </w:p>
    <w:p w:rsidR="00566DD8" w:rsidRPr="00E93722" w:rsidRDefault="00566DD8" w:rsidP="00E93722">
      <w:pPr>
        <w:pStyle w:val="Heading2"/>
        <w:spacing w:before="0" w:line="240" w:lineRule="auto"/>
        <w:jc w:val="both"/>
        <w:rPr>
          <w:rFonts w:ascii="Times New Roman" w:hAnsi="Times New Roman" w:cs="Times New Roman"/>
          <w:sz w:val="22"/>
          <w:szCs w:val="22"/>
        </w:rPr>
      </w:pPr>
      <w:r w:rsidRPr="00E93722">
        <w:rPr>
          <w:rFonts w:ascii="Times New Roman" w:hAnsi="Times New Roman" w:cs="Times New Roman"/>
          <w:sz w:val="22"/>
          <w:szCs w:val="22"/>
        </w:rPr>
        <w:t>(b)</w:t>
      </w:r>
      <w:r w:rsidRPr="00E93722">
        <w:rPr>
          <w:rFonts w:ascii="Times New Roman" w:hAnsi="Times New Roman" w:cs="Times New Roman"/>
          <w:sz w:val="22"/>
          <w:szCs w:val="22"/>
        </w:rPr>
        <w:tab/>
      </w:r>
    </w:p>
    <w:p w:rsidR="00566DD8" w:rsidRPr="00E93722" w:rsidRDefault="00566DD8" w:rsidP="00E93722">
      <w:pPr>
        <w:pStyle w:val="BodyText"/>
        <w:spacing w:after="0" w:line="240" w:lineRule="auto"/>
        <w:jc w:val="both"/>
        <w:rPr>
          <w:rFonts w:ascii="Times New Roman" w:hAnsi="Times New Roman" w:cs="Times New Roman"/>
        </w:rPr>
      </w:pPr>
      <w:r w:rsidRPr="00E93722">
        <w:rPr>
          <w:rFonts w:ascii="Times New Roman" w:hAnsi="Times New Roman" w:cs="Times New Roman"/>
        </w:rPr>
        <w:t xml:space="preserve">Podsumowanie wartości kapitału: </w:t>
      </w:r>
    </w:p>
    <w:p w:rsidR="00566DD8" w:rsidRPr="00E93722" w:rsidRDefault="00566DD8" w:rsidP="00E93722">
      <w:pPr>
        <w:pStyle w:val="List"/>
        <w:spacing w:after="0" w:line="240" w:lineRule="auto"/>
        <w:contextualSpacing w:val="0"/>
        <w:jc w:val="both"/>
        <w:rPr>
          <w:rFonts w:ascii="Times New Roman" w:hAnsi="Times New Roman" w:cs="Times New Roman"/>
        </w:rPr>
      </w:pPr>
      <w:r w:rsidRPr="00E93722">
        <w:rPr>
          <w:rFonts w:ascii="Times New Roman" w:hAnsi="Times New Roman" w:cs="Times New Roman"/>
        </w:rPr>
        <w:t>Model wzrostu dywidend (od (a)(i) ponad)         116</w:t>
      </w:r>
      <w:r w:rsidRPr="00E93722">
        <w:rPr>
          <w:rFonts w:ascii="Times New Roman" w:hAnsi="Times New Roman" w:cs="Times New Roman"/>
          <w:b/>
        </w:rPr>
        <w:t>,1</w:t>
      </w:r>
      <w:r w:rsidRPr="00E93722">
        <w:rPr>
          <w:rFonts w:ascii="Times New Roman" w:hAnsi="Times New Roman" w:cs="Times New Roman"/>
        </w:rPr>
        <w:t xml:space="preserve"> </w:t>
      </w:r>
      <w:r w:rsidRPr="00E93722">
        <w:rPr>
          <w:rFonts w:ascii="Times New Roman" w:hAnsi="Times New Roman" w:cs="Times New Roman"/>
          <w:b/>
        </w:rPr>
        <w:t>m</w:t>
      </w:r>
    </w:p>
    <w:p w:rsidR="00566DD8" w:rsidRPr="00E93722" w:rsidRDefault="00566DD8" w:rsidP="00E93722">
      <w:pPr>
        <w:pStyle w:val="List"/>
        <w:spacing w:after="0" w:line="240" w:lineRule="auto"/>
        <w:contextualSpacing w:val="0"/>
        <w:jc w:val="both"/>
        <w:rPr>
          <w:rFonts w:ascii="Times New Roman" w:hAnsi="Times New Roman" w:cs="Times New Roman"/>
        </w:rPr>
      </w:pPr>
      <w:r w:rsidRPr="00E93722">
        <w:rPr>
          <w:rFonts w:ascii="Times New Roman" w:hAnsi="Times New Roman" w:cs="Times New Roman"/>
        </w:rPr>
        <w:t xml:space="preserve">Cała wartość rynkowa kapitału (ex div) (ze scenariusza) </w:t>
      </w:r>
    </w:p>
    <w:p w:rsidR="00566DD8" w:rsidRPr="00E93722" w:rsidRDefault="00566DD8" w:rsidP="00E93722">
      <w:pPr>
        <w:pStyle w:val="BodyTextFirstIndent"/>
        <w:spacing w:after="0" w:line="240" w:lineRule="auto"/>
        <w:jc w:val="both"/>
        <w:rPr>
          <w:rFonts w:ascii="Times New Roman" w:hAnsi="Times New Roman" w:cs="Times New Roman"/>
          <w:b/>
        </w:rPr>
      </w:pPr>
      <w:r w:rsidRPr="00E93722">
        <w:rPr>
          <w:rFonts w:ascii="Times New Roman" w:hAnsi="Times New Roman" w:cs="Times New Roman"/>
        </w:rPr>
        <w:t xml:space="preserve">160mln x (0,66 – 0.05) =                                    </w:t>
      </w:r>
      <w:r w:rsidRPr="00E93722">
        <w:rPr>
          <w:rFonts w:ascii="Times New Roman" w:hAnsi="Times New Roman" w:cs="Times New Roman"/>
          <w:b/>
        </w:rPr>
        <w:t xml:space="preserve">97.6 m </w:t>
      </w:r>
    </w:p>
    <w:p w:rsidR="00566DD8" w:rsidRPr="00E93722" w:rsidRDefault="00566DD8" w:rsidP="00E93722">
      <w:pPr>
        <w:pStyle w:val="BodyText"/>
        <w:spacing w:after="0" w:line="240" w:lineRule="auto"/>
        <w:jc w:val="both"/>
        <w:rPr>
          <w:rFonts w:ascii="Times New Roman" w:hAnsi="Times New Roman" w:cs="Times New Roman"/>
        </w:rPr>
      </w:pPr>
      <w:r w:rsidRPr="00E93722">
        <w:rPr>
          <w:rFonts w:ascii="Times New Roman" w:hAnsi="Times New Roman" w:cs="Times New Roman"/>
        </w:rPr>
        <w:t xml:space="preserve">Komentarz: </w:t>
      </w:r>
    </w:p>
    <w:p w:rsidR="00566DD8" w:rsidRPr="00E93722" w:rsidRDefault="00566DD8" w:rsidP="00E93722">
      <w:pPr>
        <w:pStyle w:val="BodyText"/>
        <w:spacing w:after="0" w:line="240" w:lineRule="auto"/>
        <w:jc w:val="both"/>
        <w:rPr>
          <w:rFonts w:ascii="Times New Roman" w:hAnsi="Times New Roman" w:cs="Times New Roman"/>
        </w:rPr>
      </w:pPr>
      <w:r w:rsidRPr="00E93722">
        <w:rPr>
          <w:rFonts w:ascii="Times New Roman" w:hAnsi="Times New Roman" w:cs="Times New Roman"/>
        </w:rPr>
        <w:t xml:space="preserve">Wartość z modelu wzrostu dywidend jest wyższa od obecnej wartości rynkowej. </w:t>
      </w:r>
    </w:p>
    <w:p w:rsidR="00566DD8" w:rsidRPr="00E93722" w:rsidRDefault="00566DD8" w:rsidP="00E93722">
      <w:pPr>
        <w:pStyle w:val="BodyText"/>
        <w:spacing w:after="0" w:line="240" w:lineRule="auto"/>
        <w:jc w:val="both"/>
        <w:rPr>
          <w:rFonts w:ascii="Times New Roman" w:hAnsi="Times New Roman" w:cs="Times New Roman"/>
        </w:rPr>
      </w:pPr>
      <w:r w:rsidRPr="00E93722">
        <w:rPr>
          <w:rFonts w:ascii="Times New Roman" w:hAnsi="Times New Roman" w:cs="Times New Roman"/>
        </w:rPr>
        <w:t xml:space="preserve">Wartość rynkowa jest często uważana za wysoce ważną wartość, ale obecna wartość rynkowa MAT Co może być niedoszacowana ponieważ spółka jest notowana na rynku wtórnym (nie jest to główny rynek giełdowy) i z tego powodu, może on nie być tak efektywny, jak powinien (czyli ceny rynkowe nie są dobrym odzwierciedleniem potencjału zarobkowego firmy). </w:t>
      </w:r>
    </w:p>
    <w:p w:rsidR="00566DD8" w:rsidRPr="00E93722" w:rsidRDefault="00566DD8" w:rsidP="00E93722">
      <w:pPr>
        <w:pStyle w:val="BodyText"/>
        <w:spacing w:after="0" w:line="240" w:lineRule="auto"/>
        <w:jc w:val="both"/>
        <w:rPr>
          <w:rFonts w:ascii="Times New Roman" w:hAnsi="Times New Roman" w:cs="Times New Roman"/>
        </w:rPr>
      </w:pPr>
      <w:r w:rsidRPr="00E93722">
        <w:rPr>
          <w:rFonts w:ascii="Times New Roman" w:hAnsi="Times New Roman" w:cs="Times New Roman"/>
        </w:rPr>
        <w:t xml:space="preserve">Wartość rynkowa może również być niedoszacowana ponieważ bo rzadko na akcjach spółki są dokonywane transakcje (rzadko się nimi handluje), czyli mają niską płynność. </w:t>
      </w:r>
    </w:p>
    <w:p w:rsidR="00566DD8" w:rsidRPr="00E93722" w:rsidRDefault="00566DD8" w:rsidP="00E93722">
      <w:pPr>
        <w:pStyle w:val="BodyText"/>
        <w:spacing w:after="0" w:line="240" w:lineRule="auto"/>
        <w:jc w:val="both"/>
        <w:rPr>
          <w:rFonts w:ascii="Times New Roman" w:hAnsi="Times New Roman" w:cs="Times New Roman"/>
        </w:rPr>
      </w:pPr>
      <w:r w:rsidRPr="00E93722">
        <w:rPr>
          <w:rFonts w:ascii="Times New Roman" w:hAnsi="Times New Roman" w:cs="Times New Roman"/>
        </w:rPr>
        <w:t xml:space="preserve">Inna sprawa to to, że model wzrostu dywidend może dawać niepoprawne wyniki, bo jest on bardzo wrażliwy na zmiany w poziomie oczekiwanych przyszłych dywidend, zmiany oczekiwanego tempa ich wzrostu oraz zmiany w stopie dyskontowej. </w:t>
      </w:r>
    </w:p>
    <w:p w:rsidR="00566DD8" w:rsidRPr="00E93722" w:rsidRDefault="00566DD8" w:rsidP="00E93722">
      <w:pPr>
        <w:pStyle w:val="BodyText"/>
        <w:spacing w:after="0" w:line="240" w:lineRule="auto"/>
        <w:jc w:val="both"/>
        <w:rPr>
          <w:rFonts w:ascii="Times New Roman" w:hAnsi="Times New Roman" w:cs="Times New Roman"/>
        </w:rPr>
      </w:pPr>
      <w:r w:rsidRPr="00E93722">
        <w:rPr>
          <w:rFonts w:ascii="Times New Roman" w:hAnsi="Times New Roman" w:cs="Times New Roman"/>
        </w:rPr>
        <w:t>Dla przykładu, prognoza stopy wzrostu dywidend jest oparta na ostatnich wartościach i może być błędna. Prognozowana stopa wzrostu 10,43% wydaje się być wysoka i nie do utrzymania przez spółkę w przyszłości. Podobnie, koszt kapitału własnego użyty do obliczeń jest także szacunkiem opartym na współczynniku beta. Ten szacunek też może być niepoprawny.</w:t>
      </w:r>
    </w:p>
    <w:p w:rsidR="00566DD8" w:rsidRPr="00E93722" w:rsidRDefault="00566DD8" w:rsidP="00E93722">
      <w:pPr>
        <w:pStyle w:val="Heading2"/>
        <w:spacing w:before="0" w:line="240" w:lineRule="auto"/>
        <w:jc w:val="both"/>
        <w:rPr>
          <w:rFonts w:ascii="Times New Roman" w:hAnsi="Times New Roman" w:cs="Times New Roman"/>
          <w:sz w:val="22"/>
          <w:szCs w:val="22"/>
        </w:rPr>
      </w:pPr>
      <w:r w:rsidRPr="00E93722">
        <w:rPr>
          <w:rFonts w:ascii="Times New Roman" w:hAnsi="Times New Roman" w:cs="Times New Roman"/>
          <w:sz w:val="22"/>
          <w:szCs w:val="22"/>
        </w:rPr>
        <w:t>(c)</w:t>
      </w:r>
      <w:r w:rsidRPr="00E93722">
        <w:rPr>
          <w:rFonts w:ascii="Times New Roman" w:hAnsi="Times New Roman" w:cs="Times New Roman"/>
          <w:sz w:val="22"/>
          <w:szCs w:val="22"/>
        </w:rPr>
        <w:tab/>
      </w:r>
    </w:p>
    <w:p w:rsidR="00566DD8" w:rsidRPr="00E93722" w:rsidRDefault="00566DD8" w:rsidP="00E93722">
      <w:pPr>
        <w:pStyle w:val="BodyText"/>
        <w:spacing w:after="0" w:line="240" w:lineRule="auto"/>
        <w:jc w:val="both"/>
        <w:rPr>
          <w:rFonts w:ascii="Times New Roman" w:hAnsi="Times New Roman" w:cs="Times New Roman"/>
        </w:rPr>
      </w:pPr>
      <w:r w:rsidRPr="00E93722">
        <w:rPr>
          <w:rFonts w:ascii="Times New Roman" w:hAnsi="Times New Roman" w:cs="Times New Roman"/>
        </w:rPr>
        <w:t>Dyrektorzy MAT Co powinni wziąć następujące czynniki pod uwagę w procesie rozważania jak zwiększyć dodatkowe finansowanie:</w:t>
      </w:r>
    </w:p>
    <w:p w:rsidR="00566DD8" w:rsidRPr="00E93722" w:rsidRDefault="00566DD8" w:rsidP="00E93722">
      <w:pPr>
        <w:pStyle w:val="BodyText"/>
        <w:spacing w:after="0" w:line="240" w:lineRule="auto"/>
        <w:jc w:val="both"/>
        <w:rPr>
          <w:rFonts w:ascii="Times New Roman" w:hAnsi="Times New Roman" w:cs="Times New Roman"/>
        </w:rPr>
      </w:pPr>
      <w:r w:rsidRPr="00E93722">
        <w:rPr>
          <w:rFonts w:ascii="Times New Roman" w:hAnsi="Times New Roman" w:cs="Times New Roman"/>
          <w:b/>
        </w:rPr>
        <w:t xml:space="preserve">KOSZT – </w:t>
      </w:r>
      <w:r w:rsidRPr="00E93722">
        <w:rPr>
          <w:rFonts w:ascii="Times New Roman" w:hAnsi="Times New Roman" w:cs="Times New Roman"/>
        </w:rPr>
        <w:t xml:space="preserve">Finansowanie długiem/dłużne jest tańsze i z tego powodu, jeżeli spółka ma możliwości by zwiększyć dług, będzie to korzystne dla spółki. Porównując wartość dostępnych zabezpieczeń spłaty kredytu, czyli należącą do spółki wartość nieruchomości spółki 65mln $ i obecny długoterminowy dług o wartości zaledwie 18mln $ wydaje się, że ten dobry stosunek wartości potencjalnego zabezpieczenia do obecnego długu pozwala zwiększyć zadłużenie. </w:t>
      </w:r>
    </w:p>
    <w:p w:rsidR="00566DD8" w:rsidRPr="00E93722" w:rsidRDefault="00566DD8" w:rsidP="00E93722">
      <w:pPr>
        <w:pStyle w:val="BodyText"/>
        <w:spacing w:after="0" w:line="240" w:lineRule="auto"/>
        <w:jc w:val="both"/>
        <w:rPr>
          <w:rFonts w:ascii="Times New Roman" w:hAnsi="Times New Roman" w:cs="Times New Roman"/>
        </w:rPr>
      </w:pPr>
      <w:r w:rsidRPr="00E93722">
        <w:rPr>
          <w:rFonts w:ascii="Times New Roman" w:hAnsi="Times New Roman" w:cs="Times New Roman"/>
          <w:b/>
        </w:rPr>
        <w:t xml:space="preserve">PPRZEPŁYWY PIENIĘŻNE – </w:t>
      </w:r>
      <w:r w:rsidRPr="00E93722">
        <w:rPr>
          <w:rFonts w:ascii="Times New Roman" w:hAnsi="Times New Roman" w:cs="Times New Roman"/>
        </w:rPr>
        <w:t xml:space="preserve">Przed zwiększeniem długu, spółka musi przeprowadzić prognozę przyszłych przepływów pieniężnych by upewnić się że wygeneruje odpowiednią ilość gotówki by pokryć koszty obsługi zaciągniętego długu. Podany obecny bilans spółki wskazuje że spółka generuje dość gotówki aby dług obsłużyć (spłacać odsetki i raty kapitałowe). </w:t>
      </w:r>
    </w:p>
    <w:p w:rsidR="00566DD8" w:rsidRPr="00E93722" w:rsidRDefault="00566DD8" w:rsidP="00E93722">
      <w:pPr>
        <w:pStyle w:val="BodyText"/>
        <w:spacing w:after="0" w:line="240" w:lineRule="auto"/>
        <w:jc w:val="both"/>
        <w:rPr>
          <w:rFonts w:ascii="Times New Roman" w:hAnsi="Times New Roman" w:cs="Times New Roman"/>
        </w:rPr>
      </w:pPr>
      <w:r w:rsidRPr="00E93722">
        <w:rPr>
          <w:rFonts w:ascii="Times New Roman" w:hAnsi="Times New Roman" w:cs="Times New Roman"/>
          <w:b/>
        </w:rPr>
        <w:t xml:space="preserve">RYZYKO </w:t>
      </w:r>
      <w:r w:rsidRPr="00E93722">
        <w:rPr>
          <w:rFonts w:ascii="Times New Roman" w:hAnsi="Times New Roman" w:cs="Times New Roman"/>
        </w:rPr>
        <w:t xml:space="preserve">– Przed pozyskaniem dodatkowego kapitału dyrektorzy muszą rozważyć ryzyka związane ze spółką (ryzyko spółki). Dla przykładu jeżeli przyszła ekspansja na rynku (nowe inwestycje, np. nowy produkt na wdrożenie którego potrzebują dodatkowy kapitał) zwiększy ryzyko biznesowe spółki, mogą oni być bardziej ostrożni w pozyskiwaniu nowego długu bo to zwiększyłoby ryzyko finansowe. Równocześnie dyrektorzy powinni porównać sytuację swojej firmy do lewarowania jakie jest w innych firmach z tej samej branży i preferencje dotyczące poziomu ryzyka jakie mają udziałowcy. </w:t>
      </w:r>
    </w:p>
    <w:p w:rsidR="00566DD8" w:rsidRPr="00E93722" w:rsidRDefault="00566DD8" w:rsidP="00E93722">
      <w:pPr>
        <w:pStyle w:val="BodyText"/>
        <w:spacing w:after="0" w:line="240" w:lineRule="auto"/>
        <w:jc w:val="both"/>
        <w:rPr>
          <w:rFonts w:ascii="Times New Roman" w:hAnsi="Times New Roman" w:cs="Times New Roman"/>
        </w:rPr>
      </w:pPr>
      <w:r w:rsidRPr="00E93722">
        <w:rPr>
          <w:rFonts w:ascii="Times New Roman" w:hAnsi="Times New Roman" w:cs="Times New Roman"/>
          <w:b/>
        </w:rPr>
        <w:t xml:space="preserve">DOSTĘPNOŚĆ – </w:t>
      </w:r>
      <w:r w:rsidRPr="00E93722">
        <w:rPr>
          <w:rFonts w:ascii="Times New Roman" w:hAnsi="Times New Roman" w:cs="Times New Roman"/>
        </w:rPr>
        <w:t xml:space="preserve">Dyrektorzy muszą rozważyć prawdopodobieństwo dostępności finansowania. </w:t>
      </w:r>
    </w:p>
    <w:p w:rsidR="00566DD8" w:rsidRPr="00E93722" w:rsidRDefault="00566DD8" w:rsidP="00E93722">
      <w:pPr>
        <w:pStyle w:val="BodyText"/>
        <w:spacing w:after="0" w:line="240" w:lineRule="auto"/>
        <w:jc w:val="both"/>
        <w:rPr>
          <w:rFonts w:ascii="Times New Roman" w:hAnsi="Times New Roman" w:cs="Times New Roman"/>
        </w:rPr>
      </w:pPr>
      <w:r w:rsidRPr="00E93722">
        <w:rPr>
          <w:rFonts w:ascii="Times New Roman" w:hAnsi="Times New Roman" w:cs="Times New Roman"/>
        </w:rPr>
        <w:t xml:space="preserve">Akcje nie wydają się być bardzo płynne i pozyskanie finansowania od nowych inwestorów może być trudne. Równocześnie powinni zadać sobie pytanie czy obecni inwestorzy są w stanie kupić prawa poboru jeżeli spółka je wyemituje. Podane ostatnio wzrosty dywidend i dywidendy powinny cieszyć inwestorów i nakłonić ich do zwiększenia inwestycji w spółkę. </w:t>
      </w:r>
    </w:p>
    <w:p w:rsidR="00566DD8" w:rsidRPr="00E93722" w:rsidRDefault="00566DD8" w:rsidP="00E93722">
      <w:pPr>
        <w:pStyle w:val="BodyText"/>
        <w:spacing w:after="0" w:line="240" w:lineRule="auto"/>
        <w:jc w:val="both"/>
        <w:rPr>
          <w:rFonts w:ascii="Times New Roman" w:hAnsi="Times New Roman" w:cs="Times New Roman"/>
        </w:rPr>
      </w:pPr>
      <w:r w:rsidRPr="00E93722">
        <w:rPr>
          <w:rFonts w:ascii="Times New Roman" w:hAnsi="Times New Roman" w:cs="Times New Roman"/>
        </w:rPr>
        <w:t>Zwiększenie finansowania długiem będzie prawdopodobnie możliwe jeżeli spółka może pokazać dobre prognozy finansowe dotyczące cash-flow, a to chyba jest wykonalne, bo dostępne jest dużo zabezpieczeń dla takiego przyszłego długu.</w:t>
      </w:r>
    </w:p>
    <w:p w:rsidR="00566DD8" w:rsidRPr="00E93722" w:rsidRDefault="00566DD8" w:rsidP="00E93722">
      <w:pPr>
        <w:pStyle w:val="BodyText"/>
        <w:spacing w:after="0" w:line="240" w:lineRule="auto"/>
        <w:jc w:val="both"/>
        <w:rPr>
          <w:rFonts w:ascii="Times New Roman" w:hAnsi="Times New Roman" w:cs="Times New Roman"/>
        </w:rPr>
      </w:pPr>
      <w:r w:rsidRPr="00E93722">
        <w:rPr>
          <w:rFonts w:ascii="Times New Roman" w:hAnsi="Times New Roman" w:cs="Times New Roman"/>
          <w:b/>
        </w:rPr>
        <w:t xml:space="preserve">BEZPIECZEŃSTWO I UMOWY </w:t>
      </w:r>
      <w:r w:rsidRPr="00E93722">
        <w:rPr>
          <w:rFonts w:ascii="Times New Roman" w:hAnsi="Times New Roman" w:cs="Times New Roman"/>
        </w:rPr>
        <w:t xml:space="preserve">– dyrektorzy powinni być świadomi, że więcej dodatkowego długu może wymagać więcej zabezpieczeń (na aktywach trwałych) oraz dodatkowych klauzul ograniczających swobodę decyzyjną zarządu </w:t>
      </w:r>
      <w:r w:rsidRPr="00E93722">
        <w:rPr>
          <w:rFonts w:ascii="Times New Roman" w:hAnsi="Times New Roman" w:cs="Times New Roman"/>
        </w:rPr>
        <w:lastRenderedPageBreak/>
        <w:t xml:space="preserve">(np. brak dywidend albo ich ograniczenie). Dyrektorzy muszą upewnić się że chcą dać takie gwarancje przed zwiększeniem długu. </w:t>
      </w:r>
    </w:p>
    <w:p w:rsidR="00566DD8" w:rsidRPr="00E93722" w:rsidRDefault="00566DD8" w:rsidP="00E93722">
      <w:pPr>
        <w:pStyle w:val="BodyText"/>
        <w:spacing w:after="0" w:line="240" w:lineRule="auto"/>
        <w:jc w:val="both"/>
        <w:rPr>
          <w:rFonts w:ascii="Times New Roman" w:hAnsi="Times New Roman" w:cs="Times New Roman"/>
        </w:rPr>
      </w:pPr>
      <w:r w:rsidRPr="00E93722">
        <w:rPr>
          <w:rFonts w:ascii="Times New Roman" w:hAnsi="Times New Roman" w:cs="Times New Roman"/>
          <w:b/>
        </w:rPr>
        <w:t xml:space="preserve">KONTROLA </w:t>
      </w:r>
      <w:r w:rsidRPr="00E93722">
        <w:rPr>
          <w:rFonts w:ascii="Times New Roman" w:hAnsi="Times New Roman" w:cs="Times New Roman"/>
        </w:rPr>
        <w:t xml:space="preserve">– dyrektorzy muszą rozważyć taką sytuację, że zwiększenie kapitału od nowych inwestorów może mieć wpływ na ich kontrolę nad spółką. </w:t>
      </w:r>
    </w:p>
    <w:p w:rsidR="00566DD8" w:rsidRPr="00E93722" w:rsidRDefault="00566DD8" w:rsidP="00E93722">
      <w:pPr>
        <w:pStyle w:val="BodyText"/>
        <w:spacing w:after="0" w:line="240" w:lineRule="auto"/>
        <w:jc w:val="both"/>
        <w:rPr>
          <w:rFonts w:ascii="Times New Roman" w:hAnsi="Times New Roman" w:cs="Times New Roman"/>
        </w:rPr>
      </w:pPr>
      <w:r w:rsidRPr="00E93722">
        <w:rPr>
          <w:rFonts w:ascii="Times New Roman" w:hAnsi="Times New Roman" w:cs="Times New Roman"/>
          <w:b/>
        </w:rPr>
        <w:t xml:space="preserve">CZAS TRWANIA/ TRWANIE – </w:t>
      </w:r>
      <w:r w:rsidRPr="00E93722">
        <w:rPr>
          <w:rFonts w:ascii="Times New Roman" w:hAnsi="Times New Roman" w:cs="Times New Roman"/>
        </w:rPr>
        <w:t xml:space="preserve">dyrektorzy muszą rozważyć warunki proponowanych finansowań i upewnić się że jest to odpowiednie do natury aktywów w które chcą zainwestować. Co więcej inwestorzy powinni upewnić się że nowy dług finansowy nie zostanie zwrócony w tym samym czasie co obecne zadłużenie długoterminowe co mogłoby spowodować duży wypływ środków pieniężnych z firmy. </w:t>
      </w:r>
    </w:p>
    <w:p w:rsidR="00566DD8" w:rsidRPr="00E93722" w:rsidRDefault="00566DD8" w:rsidP="00E93722">
      <w:pPr>
        <w:pStyle w:val="BodyText"/>
        <w:spacing w:after="0" w:line="240" w:lineRule="auto"/>
        <w:jc w:val="both"/>
        <w:rPr>
          <w:rFonts w:ascii="Times New Roman" w:hAnsi="Times New Roman" w:cs="Times New Roman"/>
        </w:rPr>
      </w:pPr>
      <w:r w:rsidRPr="00E93722">
        <w:rPr>
          <w:rFonts w:ascii="Times New Roman" w:hAnsi="Times New Roman" w:cs="Times New Roman"/>
          <w:b/>
        </w:rPr>
        <w:t xml:space="preserve">PERSPEKTYWY EKONOMICZNE – </w:t>
      </w:r>
      <w:r w:rsidRPr="00E93722">
        <w:rPr>
          <w:rFonts w:ascii="Times New Roman" w:hAnsi="Times New Roman" w:cs="Times New Roman"/>
        </w:rPr>
        <w:t>Przed zwiększeniem kapitału, dyrektorzy powinni upewnić się że uwzględnili prognozy ekonomiczne które mogą mieć wpływ na handel spółki oraz na koszty finansowania. W szczególności należy przeanalizować prognozy dla stóp procentowych skoro rozważa się zwiększenie długu.</w:t>
      </w:r>
    </w:p>
    <w:p w:rsidR="00566DD8" w:rsidRPr="00E93722" w:rsidRDefault="00566DD8" w:rsidP="00E93722">
      <w:pPr>
        <w:pStyle w:val="BodyText"/>
        <w:spacing w:after="0" w:line="240" w:lineRule="auto"/>
        <w:jc w:val="both"/>
        <w:rPr>
          <w:rFonts w:ascii="Times New Roman" w:hAnsi="Times New Roman" w:cs="Times New Roman"/>
        </w:rPr>
      </w:pPr>
    </w:p>
    <w:p w:rsidR="00566DD8" w:rsidRPr="00E93722" w:rsidRDefault="00566DD8" w:rsidP="00E93722">
      <w:pPr>
        <w:spacing w:after="0" w:line="240" w:lineRule="auto"/>
        <w:jc w:val="both"/>
        <w:rPr>
          <w:rFonts w:ascii="Times New Roman" w:hAnsi="Times New Roman" w:cs="Times New Roman"/>
        </w:rPr>
      </w:pPr>
      <w:r w:rsidRPr="00E93722">
        <w:rPr>
          <w:rFonts w:ascii="Times New Roman" w:hAnsi="Times New Roman" w:cs="Times New Roman"/>
        </w:rPr>
        <w:t>Zad.3</w:t>
      </w:r>
      <w:r w:rsidR="009207A6" w:rsidRPr="00E93722">
        <w:rPr>
          <w:rFonts w:ascii="Times New Roman" w:hAnsi="Times New Roman" w:cs="Times New Roman"/>
        </w:rPr>
        <w:t>6</w:t>
      </w:r>
    </w:p>
    <w:p w:rsidR="00566DD8" w:rsidRPr="00E93722" w:rsidRDefault="00566DD8" w:rsidP="00E93722">
      <w:pPr>
        <w:spacing w:after="0" w:line="240" w:lineRule="auto"/>
        <w:rPr>
          <w:rFonts w:ascii="Times New Roman" w:hAnsi="Times New Roman" w:cs="Times New Roman"/>
        </w:rPr>
      </w:pPr>
      <w:r w:rsidRPr="00E93722">
        <w:rPr>
          <w:rFonts w:ascii="Times New Roman" w:hAnsi="Times New Roman" w:cs="Times New Roman"/>
        </w:rPr>
        <w:t>THP CO planuje zakupić CRX Co – firmę z tej samej branży i rozważa płatność gotówką za udziały w firmie. Fundusze pozyskane będą przez THP Co z emisji prawa poboru z 20-stoprocentową zniżką w stosunku do obecnej ceny ich akcji w ilości. Wielkość emisji to 1/3 liczby istniejących akcji na rynku.</w:t>
      </w:r>
      <w:r w:rsidRPr="00E93722">
        <w:rPr>
          <w:rFonts w:ascii="Times New Roman" w:hAnsi="Times New Roman" w:cs="Times New Roman"/>
        </w:rPr>
        <w:br/>
      </w:r>
      <w:r w:rsidRPr="00E93722">
        <w:rPr>
          <w:rFonts w:ascii="Times New Roman" w:hAnsi="Times New Roman" w:cs="Times New Roman"/>
        </w:rPr>
        <w:br/>
        <w:t xml:space="preserve">Cena kupna 1 miliona akcji CRX Co, będzie równa funduszom zebranym z emisji praw poboru pomniejszonym o koszty emisji w kwocie 320 000$. Zysk na akcję(EPS) CRX CO w momencie nabycia firmy będzie wynosił 44,8c. W rezultacie kupna CRX Co, THP Co oczekuje rocznych oszczędności podatkowych w wysokości 96 000$. </w:t>
      </w:r>
      <w:r w:rsidRPr="00E93722">
        <w:rPr>
          <w:rFonts w:ascii="Times New Roman" w:hAnsi="Times New Roman" w:cs="Times New Roman"/>
        </w:rPr>
        <w:br/>
      </w:r>
      <w:r w:rsidRPr="00E93722">
        <w:rPr>
          <w:rFonts w:ascii="Times New Roman" w:hAnsi="Times New Roman" w:cs="Times New Roman"/>
        </w:rPr>
        <w:br/>
        <w:t>THP Co utrzymuje stopę dywidend na poziomie 50%, a ich EPS wynosi w tym momencie 64c. W dającej się przewidzieć przyszłości ich dywidendy urosną o 5% na rok. Koszt kapitału własnego firmy wynosi 12% rocznie.</w:t>
      </w:r>
    </w:p>
    <w:p w:rsidR="00566DD8" w:rsidRPr="00E93722" w:rsidRDefault="00566DD8" w:rsidP="00E93722">
      <w:pPr>
        <w:spacing w:after="0" w:line="240" w:lineRule="auto"/>
        <w:rPr>
          <w:rFonts w:ascii="Times New Roman" w:hAnsi="Times New Roman" w:cs="Times New Roman"/>
        </w:rPr>
      </w:pPr>
      <w:r w:rsidRPr="00E93722">
        <w:rPr>
          <w:rFonts w:ascii="Times New Roman" w:hAnsi="Times New Roman" w:cs="Times New Roman"/>
        </w:rPr>
        <w:t>Informacje ze sprawozdania THP Co.</w:t>
      </w:r>
    </w:p>
    <w:tbl>
      <w:tblPr>
        <w:tblW w:w="4860" w:type="dxa"/>
        <w:tblInd w:w="55" w:type="dxa"/>
        <w:tblCellMar>
          <w:left w:w="70" w:type="dxa"/>
          <w:right w:w="70" w:type="dxa"/>
        </w:tblCellMar>
        <w:tblLook w:val="04A0" w:firstRow="1" w:lastRow="0" w:firstColumn="1" w:lastColumn="0" w:noHBand="0" w:noVBand="1"/>
      </w:tblPr>
      <w:tblGrid>
        <w:gridCol w:w="3900"/>
        <w:gridCol w:w="960"/>
      </w:tblGrid>
      <w:tr w:rsidR="00566DD8" w:rsidRPr="00E93722" w:rsidTr="009F08FC">
        <w:trPr>
          <w:trHeight w:val="300"/>
        </w:trPr>
        <w:tc>
          <w:tcPr>
            <w:tcW w:w="3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6DD8" w:rsidRPr="00E93722" w:rsidRDefault="00566DD8" w:rsidP="00E93722">
            <w:pPr>
              <w:spacing w:after="0" w:line="240" w:lineRule="auto"/>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Kapitał własny i zobowiązania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66DD8" w:rsidRPr="00E93722" w:rsidRDefault="00566DD8" w:rsidP="00E93722">
            <w:pPr>
              <w:spacing w:after="0" w:line="240" w:lineRule="auto"/>
              <w:jc w:val="right"/>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$000</w:t>
            </w:r>
          </w:p>
        </w:tc>
      </w:tr>
      <w:tr w:rsidR="00566DD8" w:rsidRPr="00E93722" w:rsidTr="009F08FC">
        <w:trPr>
          <w:trHeight w:val="30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566DD8" w:rsidRPr="00E93722" w:rsidRDefault="00566DD8" w:rsidP="00E93722">
            <w:pPr>
              <w:spacing w:after="0" w:line="240" w:lineRule="auto"/>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Akcje</w:t>
            </w:r>
          </w:p>
        </w:tc>
        <w:tc>
          <w:tcPr>
            <w:tcW w:w="960" w:type="dxa"/>
            <w:tcBorders>
              <w:top w:val="nil"/>
              <w:left w:val="nil"/>
              <w:bottom w:val="single" w:sz="4" w:space="0" w:color="auto"/>
              <w:right w:val="single" w:sz="4" w:space="0" w:color="auto"/>
            </w:tcBorders>
            <w:shd w:val="clear" w:color="auto" w:fill="auto"/>
            <w:noWrap/>
            <w:vAlign w:val="bottom"/>
            <w:hideMark/>
          </w:tcPr>
          <w:p w:rsidR="00566DD8" w:rsidRPr="00E93722" w:rsidRDefault="00566DD8" w:rsidP="00E93722">
            <w:pPr>
              <w:spacing w:after="0" w:line="240" w:lineRule="auto"/>
              <w:jc w:val="right"/>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3000</w:t>
            </w:r>
          </w:p>
        </w:tc>
      </w:tr>
      <w:tr w:rsidR="00566DD8" w:rsidRPr="00E93722" w:rsidTr="009F08FC">
        <w:trPr>
          <w:trHeight w:val="30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566DD8" w:rsidRPr="00E93722" w:rsidRDefault="00566DD8" w:rsidP="00E93722">
            <w:pPr>
              <w:spacing w:after="0" w:line="240" w:lineRule="auto"/>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Rezerwy</w:t>
            </w:r>
          </w:p>
        </w:tc>
        <w:tc>
          <w:tcPr>
            <w:tcW w:w="960" w:type="dxa"/>
            <w:tcBorders>
              <w:top w:val="nil"/>
              <w:left w:val="nil"/>
              <w:bottom w:val="single" w:sz="4" w:space="0" w:color="auto"/>
              <w:right w:val="single" w:sz="4" w:space="0" w:color="auto"/>
            </w:tcBorders>
            <w:shd w:val="clear" w:color="auto" w:fill="auto"/>
            <w:noWrap/>
            <w:vAlign w:val="bottom"/>
            <w:hideMark/>
          </w:tcPr>
          <w:p w:rsidR="00566DD8" w:rsidRPr="00E93722" w:rsidRDefault="00566DD8" w:rsidP="00E93722">
            <w:pPr>
              <w:spacing w:after="0" w:line="240" w:lineRule="auto"/>
              <w:jc w:val="right"/>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4300</w:t>
            </w:r>
          </w:p>
        </w:tc>
      </w:tr>
      <w:tr w:rsidR="00566DD8" w:rsidRPr="00E93722" w:rsidTr="009F08FC">
        <w:trPr>
          <w:trHeight w:val="30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566DD8" w:rsidRPr="00E93722" w:rsidRDefault="00566DD8" w:rsidP="00E93722">
            <w:pPr>
              <w:spacing w:after="0" w:line="240" w:lineRule="auto"/>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Razem</w:t>
            </w:r>
          </w:p>
        </w:tc>
        <w:tc>
          <w:tcPr>
            <w:tcW w:w="960" w:type="dxa"/>
            <w:tcBorders>
              <w:top w:val="nil"/>
              <w:left w:val="nil"/>
              <w:bottom w:val="single" w:sz="4" w:space="0" w:color="auto"/>
              <w:right w:val="single" w:sz="4" w:space="0" w:color="auto"/>
            </w:tcBorders>
            <w:shd w:val="clear" w:color="auto" w:fill="auto"/>
            <w:noWrap/>
            <w:vAlign w:val="bottom"/>
            <w:hideMark/>
          </w:tcPr>
          <w:p w:rsidR="00566DD8" w:rsidRPr="00E93722" w:rsidRDefault="00566DD8" w:rsidP="00E93722">
            <w:pPr>
              <w:spacing w:after="0" w:line="240" w:lineRule="auto"/>
              <w:jc w:val="right"/>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7300</w:t>
            </w:r>
          </w:p>
        </w:tc>
      </w:tr>
      <w:tr w:rsidR="00566DD8" w:rsidRPr="00E93722" w:rsidTr="009F08FC">
        <w:trPr>
          <w:trHeight w:val="30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566DD8" w:rsidRPr="00E93722" w:rsidRDefault="00566DD8" w:rsidP="00E93722">
            <w:pPr>
              <w:spacing w:after="0" w:line="240" w:lineRule="auto"/>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Zobowiązania długoterminowe</w:t>
            </w:r>
          </w:p>
        </w:tc>
        <w:tc>
          <w:tcPr>
            <w:tcW w:w="960" w:type="dxa"/>
            <w:tcBorders>
              <w:top w:val="nil"/>
              <w:left w:val="nil"/>
              <w:bottom w:val="single" w:sz="4" w:space="0" w:color="auto"/>
              <w:right w:val="single" w:sz="4" w:space="0" w:color="auto"/>
            </w:tcBorders>
            <w:shd w:val="clear" w:color="auto" w:fill="auto"/>
            <w:noWrap/>
            <w:vAlign w:val="bottom"/>
            <w:hideMark/>
          </w:tcPr>
          <w:p w:rsidR="00566DD8" w:rsidRPr="00E93722" w:rsidRDefault="00566DD8" w:rsidP="00E93722">
            <w:pPr>
              <w:spacing w:after="0" w:line="240" w:lineRule="auto"/>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 </w:t>
            </w:r>
          </w:p>
        </w:tc>
      </w:tr>
      <w:tr w:rsidR="00566DD8" w:rsidRPr="00E93722" w:rsidTr="009F08FC">
        <w:trPr>
          <w:trHeight w:val="30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566DD8" w:rsidRPr="00E93722" w:rsidRDefault="00566DD8" w:rsidP="00E93722">
            <w:pPr>
              <w:spacing w:after="0" w:line="240" w:lineRule="auto"/>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8%-owe loan notes</w:t>
            </w:r>
          </w:p>
        </w:tc>
        <w:tc>
          <w:tcPr>
            <w:tcW w:w="960" w:type="dxa"/>
            <w:tcBorders>
              <w:top w:val="nil"/>
              <w:left w:val="nil"/>
              <w:bottom w:val="single" w:sz="4" w:space="0" w:color="auto"/>
              <w:right w:val="single" w:sz="4" w:space="0" w:color="auto"/>
            </w:tcBorders>
            <w:shd w:val="clear" w:color="auto" w:fill="auto"/>
            <w:noWrap/>
            <w:vAlign w:val="bottom"/>
            <w:hideMark/>
          </w:tcPr>
          <w:p w:rsidR="00566DD8" w:rsidRPr="00E93722" w:rsidRDefault="00566DD8" w:rsidP="00E93722">
            <w:pPr>
              <w:spacing w:after="0" w:line="240" w:lineRule="auto"/>
              <w:jc w:val="right"/>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5000</w:t>
            </w:r>
          </w:p>
        </w:tc>
      </w:tr>
      <w:tr w:rsidR="00566DD8" w:rsidRPr="00E93722" w:rsidTr="009F08FC">
        <w:trPr>
          <w:trHeight w:val="30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566DD8" w:rsidRPr="00E93722" w:rsidRDefault="00566DD8" w:rsidP="00E93722">
            <w:pPr>
              <w:spacing w:after="0" w:line="240" w:lineRule="auto"/>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Zobowiązania bieżące</w:t>
            </w:r>
          </w:p>
        </w:tc>
        <w:tc>
          <w:tcPr>
            <w:tcW w:w="960" w:type="dxa"/>
            <w:tcBorders>
              <w:top w:val="nil"/>
              <w:left w:val="nil"/>
              <w:bottom w:val="single" w:sz="4" w:space="0" w:color="auto"/>
              <w:right w:val="single" w:sz="4" w:space="0" w:color="auto"/>
            </w:tcBorders>
            <w:shd w:val="clear" w:color="auto" w:fill="auto"/>
            <w:noWrap/>
            <w:vAlign w:val="bottom"/>
            <w:hideMark/>
          </w:tcPr>
          <w:p w:rsidR="00566DD8" w:rsidRPr="00E93722" w:rsidRDefault="00566DD8" w:rsidP="00E93722">
            <w:pPr>
              <w:spacing w:after="0" w:line="240" w:lineRule="auto"/>
              <w:jc w:val="right"/>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2200</w:t>
            </w:r>
          </w:p>
        </w:tc>
      </w:tr>
      <w:tr w:rsidR="00566DD8" w:rsidRPr="00E93722" w:rsidTr="009F08FC">
        <w:trPr>
          <w:trHeight w:val="30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566DD8" w:rsidRPr="00E93722" w:rsidRDefault="00566DD8" w:rsidP="00E93722">
            <w:pPr>
              <w:spacing w:after="0" w:line="240" w:lineRule="auto"/>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Całkowite zobowiązania i kapitał własny</w:t>
            </w:r>
          </w:p>
        </w:tc>
        <w:tc>
          <w:tcPr>
            <w:tcW w:w="960" w:type="dxa"/>
            <w:tcBorders>
              <w:top w:val="nil"/>
              <w:left w:val="nil"/>
              <w:bottom w:val="single" w:sz="4" w:space="0" w:color="auto"/>
              <w:right w:val="single" w:sz="4" w:space="0" w:color="auto"/>
            </w:tcBorders>
            <w:shd w:val="clear" w:color="auto" w:fill="auto"/>
            <w:noWrap/>
            <w:vAlign w:val="bottom"/>
            <w:hideMark/>
          </w:tcPr>
          <w:p w:rsidR="00566DD8" w:rsidRPr="00E93722" w:rsidRDefault="00566DD8" w:rsidP="00E93722">
            <w:pPr>
              <w:spacing w:after="0" w:line="240" w:lineRule="auto"/>
              <w:jc w:val="right"/>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14500</w:t>
            </w:r>
          </w:p>
        </w:tc>
      </w:tr>
    </w:tbl>
    <w:p w:rsidR="00566DD8" w:rsidRPr="00E93722" w:rsidRDefault="00566DD8" w:rsidP="00E93722">
      <w:pPr>
        <w:spacing w:after="0" w:line="240" w:lineRule="auto"/>
        <w:rPr>
          <w:rFonts w:ascii="Times New Roman" w:hAnsi="Times New Roman" w:cs="Times New Roman"/>
        </w:rPr>
      </w:pPr>
    </w:p>
    <w:p w:rsidR="00566DD8" w:rsidRPr="00E93722" w:rsidRDefault="00566DD8" w:rsidP="00E93722">
      <w:pPr>
        <w:spacing w:after="0" w:line="240" w:lineRule="auto"/>
        <w:rPr>
          <w:rFonts w:ascii="Times New Roman" w:hAnsi="Times New Roman" w:cs="Times New Roman"/>
        </w:rPr>
      </w:pPr>
      <w:r w:rsidRPr="00E93722">
        <w:rPr>
          <w:rFonts w:ascii="Times New Roman" w:hAnsi="Times New Roman" w:cs="Times New Roman"/>
        </w:rPr>
        <w:t>Dalsze informacje:</w:t>
      </w:r>
    </w:p>
    <w:p w:rsidR="00566DD8" w:rsidRPr="00E93722" w:rsidRDefault="00566DD8" w:rsidP="00E93722">
      <w:pPr>
        <w:spacing w:after="0" w:line="240" w:lineRule="auto"/>
        <w:rPr>
          <w:rFonts w:ascii="Times New Roman" w:hAnsi="Times New Roman" w:cs="Times New Roman"/>
        </w:rPr>
      </w:pPr>
      <w:r w:rsidRPr="00E93722">
        <w:rPr>
          <w:rFonts w:ascii="Times New Roman" w:hAnsi="Times New Roman" w:cs="Times New Roman"/>
        </w:rPr>
        <w:t>Dywidenda na akcję THP Co =32c</w:t>
      </w:r>
    </w:p>
    <w:p w:rsidR="00566DD8" w:rsidRPr="00E93722" w:rsidRDefault="00566DD8" w:rsidP="00E93722">
      <w:pPr>
        <w:spacing w:after="0" w:line="240" w:lineRule="auto"/>
        <w:rPr>
          <w:rFonts w:ascii="Times New Roman" w:hAnsi="Times New Roman" w:cs="Times New Roman"/>
        </w:rPr>
      </w:pPr>
      <w:r w:rsidRPr="00E93722">
        <w:rPr>
          <w:rFonts w:ascii="Times New Roman" w:hAnsi="Times New Roman" w:cs="Times New Roman"/>
        </w:rPr>
        <w:t>Cena akcji THP Co = 4,80$</w:t>
      </w:r>
    </w:p>
    <w:p w:rsidR="00566DD8" w:rsidRPr="00E93722" w:rsidRDefault="00566DD8" w:rsidP="00E93722">
      <w:pPr>
        <w:spacing w:after="0" w:line="240" w:lineRule="auto"/>
        <w:rPr>
          <w:rFonts w:ascii="Times New Roman" w:hAnsi="Times New Roman" w:cs="Times New Roman"/>
        </w:rPr>
      </w:pPr>
      <w:r w:rsidRPr="00E93722">
        <w:rPr>
          <w:rFonts w:ascii="Times New Roman" w:hAnsi="Times New Roman" w:cs="Times New Roman"/>
        </w:rPr>
        <w:t>Kapitalizacja giełdowa THP Co = 14,4 mln $</w:t>
      </w:r>
    </w:p>
    <w:p w:rsidR="00566DD8" w:rsidRPr="00E93722" w:rsidRDefault="00566DD8" w:rsidP="00E93722">
      <w:pPr>
        <w:spacing w:after="0" w:line="240" w:lineRule="auto"/>
        <w:rPr>
          <w:rFonts w:ascii="Times New Roman" w:hAnsi="Times New Roman" w:cs="Times New Roman"/>
        </w:rPr>
      </w:pPr>
      <w:r w:rsidRPr="00E93722">
        <w:rPr>
          <w:rFonts w:ascii="Times New Roman" w:hAnsi="Times New Roman" w:cs="Times New Roman"/>
        </w:rPr>
        <w:t>Relacja cena/zysk THP Co = 7,5</w:t>
      </w:r>
    </w:p>
    <w:p w:rsidR="00566DD8" w:rsidRPr="00E93722" w:rsidRDefault="00566DD8" w:rsidP="00E93722">
      <w:pPr>
        <w:spacing w:after="0" w:line="240" w:lineRule="auto"/>
        <w:rPr>
          <w:rFonts w:ascii="Times New Roman" w:hAnsi="Times New Roman" w:cs="Times New Roman"/>
          <w:noProof/>
          <w:lang w:eastAsia="pl-PL"/>
        </w:rPr>
      </w:pPr>
      <w:r w:rsidRPr="00E93722">
        <w:rPr>
          <w:rFonts w:ascii="Times New Roman" w:hAnsi="Times New Roman" w:cs="Times New Roman"/>
        </w:rPr>
        <w:t>Szukane:</w:t>
      </w:r>
      <w:r w:rsidRPr="00E93722">
        <w:rPr>
          <w:rFonts w:ascii="Times New Roman" w:hAnsi="Times New Roman" w:cs="Times New Roman"/>
        </w:rPr>
        <w:br/>
        <w:t>a) Zakładając, że emisja praw poboru miała miejsce i pomijając proponowane użycie zebranych funduszy oblicz:</w:t>
      </w:r>
      <w:r w:rsidRPr="00E93722">
        <w:rPr>
          <w:rFonts w:ascii="Times New Roman" w:hAnsi="Times New Roman" w:cs="Times New Roman"/>
        </w:rPr>
        <w:br/>
        <w:t>i) cena prawa poboru na akcję</w:t>
      </w:r>
      <w:r w:rsidRPr="00E93722">
        <w:rPr>
          <w:rFonts w:ascii="Times New Roman" w:hAnsi="Times New Roman" w:cs="Times New Roman"/>
        </w:rPr>
        <w:br/>
        <w:t>ii) zebraną gotówkę</w:t>
      </w:r>
      <w:r w:rsidRPr="00E93722">
        <w:rPr>
          <w:rFonts w:ascii="Times New Roman" w:hAnsi="Times New Roman" w:cs="Times New Roman"/>
        </w:rPr>
        <w:br/>
        <w:t>iii) teoretyczną cenę końcową praw poboru</w:t>
      </w:r>
      <w:r w:rsidRPr="00E93722">
        <w:rPr>
          <w:rFonts w:ascii="Times New Roman" w:hAnsi="Times New Roman" w:cs="Times New Roman"/>
        </w:rPr>
        <w:br/>
        <w:t>iv) kapitalizację giełdowąTHP Co.</w:t>
      </w:r>
      <w:r w:rsidRPr="00E93722">
        <w:rPr>
          <w:rFonts w:ascii="Times New Roman" w:hAnsi="Times New Roman" w:cs="Times New Roman"/>
          <w:noProof/>
          <w:lang w:eastAsia="pl-PL"/>
        </w:rPr>
        <w:t xml:space="preserve"> </w:t>
      </w:r>
    </w:p>
    <w:p w:rsidR="00566DD8" w:rsidRPr="00E93722" w:rsidRDefault="00566DD8" w:rsidP="00E93722">
      <w:pPr>
        <w:spacing w:after="0" w:line="240" w:lineRule="auto"/>
        <w:rPr>
          <w:rFonts w:ascii="Times New Roman" w:hAnsi="Times New Roman" w:cs="Times New Roman"/>
          <w:noProof/>
          <w:lang w:eastAsia="pl-PL"/>
        </w:rPr>
      </w:pPr>
      <w:r w:rsidRPr="00E93722">
        <w:rPr>
          <w:rFonts w:ascii="Times New Roman" w:hAnsi="Times New Roman" w:cs="Times New Roman"/>
          <w:noProof/>
          <w:lang w:eastAsia="pl-PL"/>
        </w:rPr>
        <w:t>b) używając relacji cena/zysk, oblicz cenę akcji i kapitalizację CRX Co przed nabyciem przez THP Co</w:t>
      </w:r>
    </w:p>
    <w:p w:rsidR="00566DD8" w:rsidRPr="00E93722" w:rsidRDefault="00566DD8" w:rsidP="00E93722">
      <w:pPr>
        <w:spacing w:after="0" w:line="240" w:lineRule="auto"/>
        <w:rPr>
          <w:rFonts w:ascii="Times New Roman" w:hAnsi="Times New Roman" w:cs="Times New Roman"/>
          <w:noProof/>
          <w:lang w:eastAsia="pl-PL"/>
        </w:rPr>
      </w:pPr>
      <w:r w:rsidRPr="00E93722">
        <w:rPr>
          <w:rFonts w:ascii="Times New Roman" w:hAnsi="Times New Roman" w:cs="Times New Roman"/>
          <w:noProof/>
          <w:lang w:eastAsia="pl-PL"/>
        </w:rPr>
        <w:t>c) zakładając półsilnie efektywny rynek kapitałowy, oblicz i skomentuj kapitalizację giełdową THP Co po nabyciu CRX Co, pod warunkiem że:</w:t>
      </w:r>
      <w:r w:rsidRPr="00E93722">
        <w:rPr>
          <w:rFonts w:ascii="Times New Roman" w:hAnsi="Times New Roman" w:cs="Times New Roman"/>
          <w:noProof/>
          <w:lang w:eastAsia="pl-PL"/>
        </w:rPr>
        <w:br/>
        <w:t>i) THP Co nie ogłasza oczekiwanych rocznych oszczędności podatkowych</w:t>
      </w:r>
      <w:r w:rsidRPr="00E93722">
        <w:rPr>
          <w:rFonts w:ascii="Times New Roman" w:hAnsi="Times New Roman" w:cs="Times New Roman"/>
          <w:noProof/>
          <w:lang w:eastAsia="pl-PL"/>
        </w:rPr>
        <w:br/>
        <w:t>ii) są one ogłaszane</w:t>
      </w:r>
    </w:p>
    <w:p w:rsidR="00566DD8" w:rsidRPr="00E93722" w:rsidRDefault="00566DD8" w:rsidP="00E93722">
      <w:pPr>
        <w:spacing w:after="0" w:line="240" w:lineRule="auto"/>
        <w:rPr>
          <w:rFonts w:ascii="Times New Roman" w:hAnsi="Times New Roman" w:cs="Times New Roman"/>
          <w:noProof/>
          <w:lang w:eastAsia="pl-PL"/>
        </w:rPr>
      </w:pPr>
      <w:r w:rsidRPr="00E93722">
        <w:rPr>
          <w:rFonts w:ascii="Times New Roman" w:hAnsi="Times New Roman" w:cs="Times New Roman"/>
          <w:noProof/>
          <w:lang w:eastAsia="pl-PL"/>
        </w:rPr>
        <w:t>d) Przedyskutuj czynniki jakie THP Co powinno wziąć pod uwagę, wybierając pomiędzy finansowaniem nabycia CRX Co  kapitałami własnymi albo długiem.</w:t>
      </w:r>
    </w:p>
    <w:p w:rsidR="00566DD8" w:rsidRPr="00E93722" w:rsidRDefault="00566DD8" w:rsidP="00E93722">
      <w:pPr>
        <w:spacing w:after="0" w:line="240" w:lineRule="auto"/>
        <w:rPr>
          <w:rFonts w:ascii="Times New Roman" w:hAnsi="Times New Roman" w:cs="Times New Roman"/>
          <w:noProof/>
          <w:lang w:eastAsia="pl-PL"/>
        </w:rPr>
      </w:pPr>
      <w:r w:rsidRPr="00E93722">
        <w:rPr>
          <w:rFonts w:ascii="Times New Roman" w:hAnsi="Times New Roman" w:cs="Times New Roman"/>
          <w:noProof/>
          <w:lang w:eastAsia="pl-PL"/>
        </w:rPr>
        <w:t xml:space="preserve">Rozwiązanie: </w:t>
      </w:r>
    </w:p>
    <w:p w:rsidR="00566DD8" w:rsidRPr="00E93722" w:rsidRDefault="00566DD8" w:rsidP="00E93722">
      <w:pPr>
        <w:pStyle w:val="ListParagraph"/>
        <w:numPr>
          <w:ilvl w:val="0"/>
          <w:numId w:val="17"/>
        </w:numPr>
        <w:spacing w:after="0" w:line="240" w:lineRule="auto"/>
        <w:contextualSpacing w:val="0"/>
        <w:rPr>
          <w:rFonts w:ascii="Times New Roman" w:hAnsi="Times New Roman" w:cs="Times New Roman"/>
          <w:noProof/>
          <w:lang w:eastAsia="pl-PL"/>
        </w:rPr>
      </w:pPr>
      <w:r w:rsidRPr="00E93722">
        <w:rPr>
          <w:rFonts w:ascii="Times New Roman" w:hAnsi="Times New Roman" w:cs="Times New Roman"/>
          <w:noProof/>
          <w:lang w:eastAsia="pl-PL"/>
        </w:rPr>
        <w:t>Emisja praw poboru</w:t>
      </w:r>
      <w:r w:rsidRPr="00E93722">
        <w:rPr>
          <w:rFonts w:ascii="Times New Roman" w:hAnsi="Times New Roman" w:cs="Times New Roman"/>
          <w:noProof/>
          <w:lang w:eastAsia="pl-PL"/>
        </w:rPr>
        <w:br/>
        <w:t>Odbywa się po cenie obniżonej o 20%, więc  = 4,80*0,8  = 3,84$ na akcję</w:t>
      </w:r>
      <w:r w:rsidRPr="00E93722">
        <w:rPr>
          <w:rFonts w:ascii="Times New Roman" w:hAnsi="Times New Roman" w:cs="Times New Roman"/>
          <w:noProof/>
          <w:lang w:eastAsia="pl-PL"/>
        </w:rPr>
        <w:br/>
        <w:t>Nowe wyemitowane akcje = 3mln/3 = 1mln</w:t>
      </w:r>
      <w:r w:rsidRPr="00E93722">
        <w:rPr>
          <w:rFonts w:ascii="Times New Roman" w:hAnsi="Times New Roman" w:cs="Times New Roman"/>
          <w:noProof/>
          <w:lang w:eastAsia="pl-PL"/>
        </w:rPr>
        <w:br/>
        <w:t>Zebrana gotówka = 1mln * 3,84 = 3 840 000</w:t>
      </w:r>
      <w:r w:rsidRPr="00E93722">
        <w:rPr>
          <w:rFonts w:ascii="Times New Roman" w:hAnsi="Times New Roman" w:cs="Times New Roman"/>
          <w:noProof/>
          <w:lang w:eastAsia="pl-PL"/>
        </w:rPr>
        <w:br/>
      </w:r>
      <w:r w:rsidRPr="00E93722">
        <w:rPr>
          <w:rFonts w:ascii="Times New Roman" w:hAnsi="Times New Roman" w:cs="Times New Roman"/>
          <w:noProof/>
          <w:lang w:eastAsia="pl-PL"/>
        </w:rPr>
        <w:lastRenderedPageBreak/>
        <w:t>TERP = [(3*4,80) +3,84]/4 = 4,56$ na akcję</w:t>
      </w:r>
      <w:r w:rsidRPr="00E93722">
        <w:rPr>
          <w:rFonts w:ascii="Times New Roman" w:hAnsi="Times New Roman" w:cs="Times New Roman"/>
          <w:noProof/>
          <w:lang w:eastAsia="pl-PL"/>
        </w:rPr>
        <w:br/>
        <w:t>TERP(Theoretical ex rights price) – jest obliczane dla cen akcji danej firmy po nowej emisji praw poboru akcji z założeniem, że wszystkie nowo wyemitowane akcje zostaną natychmiastowo kupione przez rynek. TERP jest niższe niż cena starych akcji i wyższe niż cena nowych</w:t>
      </w:r>
      <w:r w:rsidRPr="00E93722">
        <w:rPr>
          <w:rFonts w:ascii="Times New Roman" w:hAnsi="Times New Roman" w:cs="Times New Roman"/>
          <w:noProof/>
          <w:lang w:eastAsia="pl-PL"/>
        </w:rPr>
        <w:br/>
        <w:t>Kapitalizacja giełdowa po emisji praw = 14,4 mln + 3,84 mln = 18,24mln - 0,32 mln</w:t>
      </w:r>
      <w:r w:rsidRPr="00E93722">
        <w:rPr>
          <w:rFonts w:ascii="Times New Roman" w:hAnsi="Times New Roman" w:cs="Times New Roman"/>
          <w:noProof/>
          <w:lang w:eastAsia="pl-PL"/>
        </w:rPr>
        <w:br/>
        <w:t xml:space="preserve"> = 17,92 mln $</w:t>
      </w:r>
      <w:r w:rsidRPr="00E93722">
        <w:rPr>
          <w:rFonts w:ascii="Times New Roman" w:hAnsi="Times New Roman" w:cs="Times New Roman"/>
          <w:noProof/>
          <w:lang w:eastAsia="pl-PL"/>
        </w:rPr>
        <w:br/>
        <w:t>Z czego wynika, że cena akcji = 17,92/4 = 4,48$ na akcję</w:t>
      </w:r>
      <w:r w:rsidRPr="00E93722">
        <w:rPr>
          <w:rFonts w:ascii="Times New Roman" w:hAnsi="Times New Roman" w:cs="Times New Roman"/>
          <w:noProof/>
          <w:lang w:eastAsia="pl-PL"/>
        </w:rPr>
        <w:br/>
        <w:t>Koszty emisji skutkują obniżenie wartości rynkowej przedsiębiorstwa, a co za tym idzie obniżeniem majątku udziałowców o 8c na akcję</w:t>
      </w:r>
      <w:r w:rsidRPr="00E93722">
        <w:rPr>
          <w:rFonts w:ascii="Times New Roman" w:hAnsi="Times New Roman" w:cs="Times New Roman"/>
          <w:noProof/>
          <w:lang w:eastAsia="pl-PL"/>
        </w:rPr>
        <w:br/>
      </w:r>
    </w:p>
    <w:p w:rsidR="00566DD8" w:rsidRPr="00E93722" w:rsidRDefault="00566DD8" w:rsidP="00E93722">
      <w:pPr>
        <w:pStyle w:val="ListParagraph"/>
        <w:numPr>
          <w:ilvl w:val="0"/>
          <w:numId w:val="17"/>
        </w:numPr>
        <w:spacing w:after="0" w:line="240" w:lineRule="auto"/>
        <w:contextualSpacing w:val="0"/>
        <w:rPr>
          <w:rFonts w:ascii="Times New Roman" w:hAnsi="Times New Roman" w:cs="Times New Roman"/>
          <w:noProof/>
          <w:lang w:eastAsia="pl-PL"/>
        </w:rPr>
      </w:pPr>
      <w:r w:rsidRPr="00E93722">
        <w:rPr>
          <w:rFonts w:ascii="Times New Roman" w:hAnsi="Times New Roman" w:cs="Times New Roman"/>
          <w:noProof/>
          <w:lang w:eastAsia="pl-PL"/>
        </w:rPr>
        <w:t>Cena/zysk</w:t>
      </w:r>
      <w:r w:rsidRPr="00E93722">
        <w:rPr>
          <w:rFonts w:ascii="Times New Roman" w:hAnsi="Times New Roman" w:cs="Times New Roman"/>
          <w:noProof/>
          <w:lang w:eastAsia="pl-PL"/>
        </w:rPr>
        <w:br/>
        <w:t>Cena/zysk THP Co = 480/64 = 7,5</w:t>
      </w:r>
      <w:r w:rsidRPr="00E93722">
        <w:rPr>
          <w:rFonts w:ascii="Times New Roman" w:hAnsi="Times New Roman" w:cs="Times New Roman"/>
          <w:noProof/>
          <w:lang w:eastAsia="pl-PL"/>
        </w:rPr>
        <w:br/>
        <w:t>EPS CRX Co = 44,8c na akcję</w:t>
      </w:r>
      <w:r w:rsidRPr="00E93722">
        <w:rPr>
          <w:rFonts w:ascii="Times New Roman" w:hAnsi="Times New Roman" w:cs="Times New Roman"/>
          <w:noProof/>
          <w:lang w:eastAsia="pl-PL"/>
        </w:rPr>
        <w:br/>
        <w:t>Z wykorzystaniem wskaźnika P/E   obliczamy cenę akcji CRX Co, która wynosi</w:t>
      </w:r>
      <w:r w:rsidRPr="00E93722">
        <w:rPr>
          <w:rFonts w:ascii="Times New Roman" w:hAnsi="Times New Roman" w:cs="Times New Roman"/>
          <w:noProof/>
          <w:lang w:eastAsia="pl-PL"/>
        </w:rPr>
        <w:br/>
        <w:t xml:space="preserve"> = (44,8 * 7,5)/100 = 3,36$ - zakładamy tutaj, że skoro firmy są z tej samej branży to możemy przyjąć że ich P/E jest takie samo.</w:t>
      </w:r>
      <w:r w:rsidRPr="00E93722">
        <w:rPr>
          <w:rFonts w:ascii="Times New Roman" w:hAnsi="Times New Roman" w:cs="Times New Roman"/>
          <w:noProof/>
          <w:lang w:eastAsia="pl-PL"/>
        </w:rPr>
        <w:br/>
        <w:t>Kapitalizacja giełdowa CRX Co = 3,36*1mln = 3 360 000$</w:t>
      </w:r>
      <w:r w:rsidRPr="00E93722">
        <w:rPr>
          <w:rFonts w:ascii="Times New Roman" w:hAnsi="Times New Roman" w:cs="Times New Roman"/>
          <w:noProof/>
          <w:lang w:eastAsia="pl-PL"/>
        </w:rPr>
        <w:br/>
        <w:t>lub = 1 mln * 0,448= 448 000$ * 7,5 = 3 360 000$</w:t>
      </w:r>
    </w:p>
    <w:p w:rsidR="00566DD8" w:rsidRPr="00E93722" w:rsidRDefault="00566DD8" w:rsidP="00E93722">
      <w:pPr>
        <w:pStyle w:val="ListParagraph"/>
        <w:tabs>
          <w:tab w:val="left" w:pos="5460"/>
        </w:tabs>
        <w:spacing w:after="0" w:line="240" w:lineRule="auto"/>
        <w:contextualSpacing w:val="0"/>
        <w:rPr>
          <w:rFonts w:ascii="Times New Roman" w:hAnsi="Times New Roman" w:cs="Times New Roman"/>
          <w:noProof/>
          <w:lang w:eastAsia="pl-PL"/>
        </w:rPr>
      </w:pPr>
    </w:p>
    <w:p w:rsidR="00566DD8" w:rsidRPr="00E93722" w:rsidRDefault="00566DD8" w:rsidP="00E93722">
      <w:pPr>
        <w:pStyle w:val="ListParagraph"/>
        <w:numPr>
          <w:ilvl w:val="0"/>
          <w:numId w:val="17"/>
        </w:numPr>
        <w:spacing w:after="0" w:line="240" w:lineRule="auto"/>
        <w:contextualSpacing w:val="0"/>
        <w:rPr>
          <w:rFonts w:ascii="Times New Roman" w:hAnsi="Times New Roman" w:cs="Times New Roman"/>
          <w:noProof/>
          <w:lang w:eastAsia="pl-PL"/>
        </w:rPr>
      </w:pPr>
      <w:r w:rsidRPr="00E93722">
        <w:rPr>
          <w:rFonts w:ascii="Times New Roman" w:hAnsi="Times New Roman" w:cs="Times New Roman"/>
          <w:noProof/>
          <w:lang w:eastAsia="pl-PL"/>
        </w:rPr>
        <w:t xml:space="preserve">Na rynku półsilnie efektywnym, ceny akcji odzwierciedlają publiczne informacje na temat akcji oraz przeszłość. Jeśli oczekiwane roczne oszczędności podatkowe nie są ogłaszane, ta informacja znajdzie swoje odzwierciedlenie w cenach akcji THP Co.  W takim przypadku kapitalizacja giełdowa THP Co po nabyciu CRX Co, będzie równa sumie kapitalizacji giełdowej THP Co po emisji praw poboru i kapitalizacji giełdowej CRX Co, pomniejszonej o cenę nabytych akcji CRX Co, ponieważ te pieniądze opuściły firmę.  Zakłada się, że kapitalizacje giełdowe obliczone we wcześniejsej części tego zadania, włączając wartość CRX Co obliczoną metodą P/E, są wartościami godziwymi, </w:t>
      </w:r>
    </w:p>
    <w:p w:rsidR="00566DD8" w:rsidRPr="00E93722" w:rsidRDefault="00566DD8" w:rsidP="00E93722">
      <w:pPr>
        <w:pStyle w:val="ListParagraph"/>
        <w:spacing w:after="0" w:line="240" w:lineRule="auto"/>
        <w:contextualSpacing w:val="0"/>
        <w:rPr>
          <w:rFonts w:ascii="Times New Roman" w:hAnsi="Times New Roman" w:cs="Times New Roman"/>
          <w:noProof/>
          <w:lang w:eastAsia="pl-PL"/>
        </w:rPr>
      </w:pPr>
      <w:r w:rsidRPr="00E93722">
        <w:rPr>
          <w:rFonts w:ascii="Times New Roman" w:hAnsi="Times New Roman" w:cs="Times New Roman"/>
          <w:noProof/>
          <w:lang w:eastAsia="pl-PL"/>
        </w:rPr>
        <w:br/>
        <w:t>Cena zapłacona za akcje CRX Co = 3,84 mln -0,32 mln = 3,52 mln $</w:t>
      </w:r>
      <w:r w:rsidRPr="00E93722">
        <w:rPr>
          <w:rFonts w:ascii="Times New Roman" w:hAnsi="Times New Roman" w:cs="Times New Roman"/>
          <w:noProof/>
          <w:lang w:eastAsia="pl-PL"/>
        </w:rPr>
        <w:br/>
        <w:t>Kapitalizacja giełdowa = 17,92 mln +3,36 mln -3,52 mln = 17,76 mln $</w:t>
      </w:r>
      <w:r w:rsidRPr="00E93722">
        <w:rPr>
          <w:rFonts w:ascii="Times New Roman" w:hAnsi="Times New Roman" w:cs="Times New Roman"/>
          <w:noProof/>
          <w:lang w:eastAsia="pl-PL"/>
        </w:rPr>
        <w:br/>
        <w:t>Cena akcji 17,76/4 = 4,44 $ na akcję</w:t>
      </w:r>
      <w:r w:rsidRPr="00E93722">
        <w:rPr>
          <w:rFonts w:ascii="Times New Roman" w:hAnsi="Times New Roman" w:cs="Times New Roman"/>
          <w:noProof/>
          <w:lang w:eastAsia="pl-PL"/>
        </w:rPr>
        <w:br/>
      </w:r>
      <w:r w:rsidRPr="00E93722">
        <w:rPr>
          <w:rFonts w:ascii="Times New Roman" w:hAnsi="Times New Roman" w:cs="Times New Roman"/>
          <w:noProof/>
          <w:lang w:eastAsia="pl-PL"/>
        </w:rPr>
        <w:br/>
        <w:t>Kapitalizacja giełdowa została obniżona o 3,36 mln $ (wartość CRX Co). To kolejny spadek wartości majątku udziałowców,  po spadku związanym z emisją praw poboru. Jeśli oczekiwane roczne oszczędności podatkowe zostaną ogłoszone, ta informacja znajdzie swoje odzwierciedlenie natychmiastowo w cenie akcji THP Co, ponieważ rynek jest półsilnie efektywny. Oszczędności mogą być oszacowane przy użyciu wskaźnika P/E . Mając wartość teraźniejszą akcji 720 000$(7,5*96 000), możemy obliczyć kapitalizację giełdową. Jest ona równa 18,48 mln $ (17,76 mln + 0,72 mln), co daje cenę akcji 4,62$ na akcję. To czyni nabycie CRX Co przez THP Co atrakcyjnym dla udziałówców, ponieważ oznacza wyższą kapitalizację giełdową spółki niż ta obliczona zaraz po emisji praw poboru. Każdy udziałowiec może się spodziewać zysku na poziomie 14c na akcję (4,62-4,48). W rzeczywistości rynek prawdopodonie przewidziałby oszczędności podatkowe THP Co, jeszcze zanim firma zdążyłaby zadecydować o ich ogłoszeniu.</w:t>
      </w:r>
    </w:p>
    <w:p w:rsidR="00566DD8" w:rsidRPr="00E93722" w:rsidRDefault="00566DD8" w:rsidP="00E93722">
      <w:pPr>
        <w:pStyle w:val="ListParagraph"/>
        <w:spacing w:after="0" w:line="240" w:lineRule="auto"/>
        <w:contextualSpacing w:val="0"/>
        <w:rPr>
          <w:rFonts w:ascii="Times New Roman" w:hAnsi="Times New Roman" w:cs="Times New Roman"/>
          <w:noProof/>
          <w:lang w:eastAsia="pl-PL"/>
        </w:rPr>
      </w:pPr>
    </w:p>
    <w:p w:rsidR="00566DD8" w:rsidRPr="00E93722" w:rsidRDefault="00566DD8" w:rsidP="00E93722">
      <w:pPr>
        <w:pStyle w:val="ListParagraph"/>
        <w:numPr>
          <w:ilvl w:val="0"/>
          <w:numId w:val="17"/>
        </w:numPr>
        <w:spacing w:after="0" w:line="240" w:lineRule="auto"/>
        <w:contextualSpacing w:val="0"/>
        <w:rPr>
          <w:rFonts w:ascii="Times New Roman" w:hAnsi="Times New Roman" w:cs="Times New Roman"/>
          <w:noProof/>
          <w:lang w:eastAsia="pl-PL"/>
        </w:rPr>
      </w:pPr>
      <w:r w:rsidRPr="00E93722">
        <w:rPr>
          <w:rFonts w:ascii="Times New Roman" w:hAnsi="Times New Roman" w:cs="Times New Roman"/>
          <w:noProof/>
          <w:lang w:eastAsia="pl-PL"/>
        </w:rPr>
        <w:t>Jest kilka czynników, które powinny być wzięte pod uwagę przez THP CO:</w:t>
      </w:r>
      <w:r w:rsidRPr="00E93722">
        <w:rPr>
          <w:rFonts w:ascii="Times New Roman" w:hAnsi="Times New Roman" w:cs="Times New Roman"/>
          <w:noProof/>
          <w:lang w:eastAsia="pl-PL"/>
        </w:rPr>
        <w:br/>
      </w:r>
      <w:r w:rsidRPr="00E93722">
        <w:rPr>
          <w:rFonts w:ascii="Times New Roman" w:hAnsi="Times New Roman" w:cs="Times New Roman"/>
          <w:b/>
          <w:noProof/>
          <w:lang w:eastAsia="pl-PL"/>
        </w:rPr>
        <w:t>Finansowanie długiem i ryzyko finansowe</w:t>
      </w:r>
      <w:r w:rsidRPr="00E93722">
        <w:rPr>
          <w:rFonts w:ascii="Times New Roman" w:hAnsi="Times New Roman" w:cs="Times New Roman"/>
          <w:b/>
          <w:noProof/>
          <w:lang w:eastAsia="pl-PL"/>
        </w:rPr>
        <w:br/>
      </w:r>
      <w:r w:rsidRPr="00E93722">
        <w:rPr>
          <w:rFonts w:ascii="Times New Roman" w:hAnsi="Times New Roman" w:cs="Times New Roman"/>
          <w:noProof/>
          <w:lang w:eastAsia="pl-PL"/>
        </w:rPr>
        <w:t>Finansowanie kapitałem własnym obniży poziom zadłużenia, a co za tym idzie również ryzyko finansowe, podczas gdy finansowanie długiem je podwyższy. Finansowanie długiem dla THP Co wynosi w tym momencie 68,5% i zmniejszy się do 45%, jeśli użyte zostanie finansowanie kapitałem własnym. Możliwe jest też „nabyte” zadłużenie w konsekwencji nabycia CRX Co. THP Co musi rozważyć jaki poziom ryzyka jest dla nich akceptowalny z perspektywy zarówno firmy jak i interesariuszy.</w:t>
      </w:r>
      <w:r w:rsidRPr="00E93722">
        <w:rPr>
          <w:rFonts w:ascii="Times New Roman" w:hAnsi="Times New Roman" w:cs="Times New Roman"/>
          <w:noProof/>
          <w:lang w:eastAsia="pl-PL"/>
        </w:rPr>
        <w:br/>
      </w:r>
      <w:r w:rsidRPr="00E93722">
        <w:rPr>
          <w:rFonts w:ascii="Times New Roman" w:hAnsi="Times New Roman" w:cs="Times New Roman"/>
          <w:b/>
          <w:noProof/>
          <w:lang w:eastAsia="pl-PL"/>
        </w:rPr>
        <w:t>Docelowa struktura kapitałów</w:t>
      </w:r>
      <w:r w:rsidRPr="00E93722">
        <w:rPr>
          <w:rFonts w:ascii="Times New Roman" w:hAnsi="Times New Roman" w:cs="Times New Roman"/>
          <w:b/>
          <w:noProof/>
          <w:lang w:eastAsia="pl-PL"/>
        </w:rPr>
        <w:br/>
      </w:r>
      <w:r w:rsidRPr="00E93722">
        <w:rPr>
          <w:rFonts w:ascii="Times New Roman" w:hAnsi="Times New Roman" w:cs="Times New Roman"/>
          <w:noProof/>
          <w:lang w:eastAsia="pl-PL"/>
        </w:rPr>
        <w:t xml:space="preserve">THP Co musi porównac swoją strukturę kapitałów po nabyciu CRX Co z pożądaną przez nich strukturą kapitałów. Jeśli ich pierwszorzędnym finansowym celem jest maksymalizacja majątku udziałowców, powinno dążyć do minimalizacji średnioważonego kosztu kapitału (WACC). W praktyce, może to być osiągnięte przez utrzymywanie pewnego udziału długu w strukturze kapitałów, ponieważ dług jest relatywnie tańszy niż kapitał własny. Udział długu powinien być taki, aby pozwalał THP Co na uniknięcie negatywnych skutków zarówno zbyt małego jak i za dużego zadłużenia. </w:t>
      </w:r>
    </w:p>
    <w:p w:rsidR="00566DD8" w:rsidRPr="00E93722" w:rsidRDefault="00566DD8" w:rsidP="00E93722">
      <w:pPr>
        <w:pStyle w:val="ListParagraph"/>
        <w:numPr>
          <w:ilvl w:val="0"/>
          <w:numId w:val="17"/>
        </w:numPr>
        <w:spacing w:after="0" w:line="240" w:lineRule="auto"/>
        <w:contextualSpacing w:val="0"/>
        <w:rPr>
          <w:rFonts w:ascii="Times New Roman" w:hAnsi="Times New Roman" w:cs="Times New Roman"/>
          <w:b/>
          <w:noProof/>
          <w:lang w:eastAsia="pl-PL"/>
        </w:rPr>
      </w:pPr>
      <w:r w:rsidRPr="00E93722">
        <w:rPr>
          <w:rFonts w:ascii="Times New Roman" w:hAnsi="Times New Roman" w:cs="Times New Roman"/>
          <w:b/>
          <w:noProof/>
          <w:lang w:eastAsia="pl-PL"/>
        </w:rPr>
        <w:t>Dostępność zabezpieczenia:</w:t>
      </w:r>
      <w:r w:rsidRPr="00E93722">
        <w:rPr>
          <w:rFonts w:ascii="Times New Roman" w:hAnsi="Times New Roman" w:cs="Times New Roman"/>
          <w:noProof/>
          <w:lang w:eastAsia="pl-PL"/>
        </w:rPr>
        <w:br/>
        <w:t xml:space="preserve">Dług zazwyczaj musi być zabezpieczony aktywami. Fundusze  potrzebne na zakup CRX CO musiałaby być </w:t>
      </w:r>
      <w:r w:rsidRPr="00E93722">
        <w:rPr>
          <w:rFonts w:ascii="Times New Roman" w:hAnsi="Times New Roman" w:cs="Times New Roman"/>
          <w:noProof/>
          <w:lang w:eastAsia="pl-PL"/>
        </w:rPr>
        <w:lastRenderedPageBreak/>
        <w:t>zabezpieczona aktywami trwałymi. Informacje na temat aktywów trwałych ani o statusie istniejących loan notes nie zostały podane.</w:t>
      </w:r>
    </w:p>
    <w:p w:rsidR="00566DD8" w:rsidRPr="00E93722" w:rsidRDefault="00566DD8" w:rsidP="00E93722">
      <w:pPr>
        <w:pStyle w:val="ListParagraph"/>
        <w:numPr>
          <w:ilvl w:val="0"/>
          <w:numId w:val="17"/>
        </w:numPr>
        <w:spacing w:after="0" w:line="240" w:lineRule="auto"/>
        <w:contextualSpacing w:val="0"/>
        <w:rPr>
          <w:rFonts w:ascii="Times New Roman" w:hAnsi="Times New Roman" w:cs="Times New Roman"/>
          <w:noProof/>
          <w:lang w:eastAsia="pl-PL"/>
        </w:rPr>
      </w:pPr>
      <w:r w:rsidRPr="00E93722">
        <w:rPr>
          <w:rFonts w:ascii="Times New Roman" w:hAnsi="Times New Roman" w:cs="Times New Roman"/>
          <w:b/>
          <w:noProof/>
          <w:lang w:eastAsia="pl-PL"/>
        </w:rPr>
        <w:t>Oczekiwania ekonomiczne</w:t>
      </w:r>
      <w:r w:rsidRPr="00E93722">
        <w:rPr>
          <w:rFonts w:ascii="Times New Roman" w:hAnsi="Times New Roman" w:cs="Times New Roman"/>
          <w:b/>
          <w:noProof/>
          <w:lang w:eastAsia="pl-PL"/>
        </w:rPr>
        <w:br/>
      </w:r>
      <w:r w:rsidRPr="00E93722">
        <w:rPr>
          <w:rFonts w:ascii="Times New Roman" w:hAnsi="Times New Roman" w:cs="Times New Roman"/>
          <w:noProof/>
          <w:lang w:eastAsia="pl-PL"/>
        </w:rPr>
        <w:t>Jeśli THP Co  oczekuje sprzyjających uwarunkowań ekonomicznych i rosnących zysków w przyszłość, będzie bardziej przygotowane na podjęcie stałych zobowiązań wynikających z długów niż w przypadku gdyby przewidywało trudności.</w:t>
      </w:r>
    </w:p>
    <w:p w:rsidR="00566DD8" w:rsidRPr="00E93722" w:rsidRDefault="00566DD8" w:rsidP="00E93722">
      <w:pPr>
        <w:pStyle w:val="ListParagraph"/>
        <w:numPr>
          <w:ilvl w:val="0"/>
          <w:numId w:val="17"/>
        </w:numPr>
        <w:spacing w:after="0" w:line="240" w:lineRule="auto"/>
        <w:contextualSpacing w:val="0"/>
        <w:rPr>
          <w:rFonts w:ascii="Times New Roman" w:hAnsi="Times New Roman" w:cs="Times New Roman"/>
          <w:noProof/>
          <w:lang w:eastAsia="pl-PL"/>
        </w:rPr>
      </w:pPr>
      <w:r w:rsidRPr="00E93722">
        <w:rPr>
          <w:rFonts w:ascii="Times New Roman" w:hAnsi="Times New Roman" w:cs="Times New Roman"/>
          <w:b/>
          <w:noProof/>
          <w:lang w:eastAsia="pl-PL"/>
        </w:rPr>
        <w:t>Kwestia kontroli nad spółką</w:t>
      </w:r>
    </w:p>
    <w:p w:rsidR="00566DD8" w:rsidRPr="00E93722" w:rsidRDefault="00566DD8" w:rsidP="00E93722">
      <w:pPr>
        <w:pStyle w:val="ListParagraph"/>
        <w:spacing w:after="0" w:line="240" w:lineRule="auto"/>
        <w:contextualSpacing w:val="0"/>
        <w:rPr>
          <w:rFonts w:ascii="Times New Roman" w:hAnsi="Times New Roman" w:cs="Times New Roman"/>
          <w:noProof/>
          <w:lang w:eastAsia="pl-PL"/>
        </w:rPr>
      </w:pPr>
      <w:r w:rsidRPr="00E93722">
        <w:rPr>
          <w:rFonts w:ascii="Times New Roman" w:hAnsi="Times New Roman" w:cs="Times New Roman"/>
          <w:noProof/>
          <w:lang w:eastAsia="pl-PL"/>
        </w:rPr>
        <w:t xml:space="preserve">Emisja praw poboru nie  powinno rozmyć istniejących wzorców zarządzania związanych z własnością, w przeciwieństwie do emisji akcji dla nowych inwestorów. Wybór pomiędzy sprzedażą nowych akcji obecnym i nowym inwestorom, zależy od ilości potrzebnych funduszy. Zazwyczaj emisji praw poboru używa się na finansowanie inwestycji średniej wielkości, natomiast emisji dla nowych inwestorów w przypadku dużych inwestycji. </w:t>
      </w:r>
    </w:p>
    <w:p w:rsidR="00566DD8" w:rsidRPr="00E93722" w:rsidRDefault="00566DD8" w:rsidP="00E93722">
      <w:pPr>
        <w:pStyle w:val="ListParagraph"/>
        <w:numPr>
          <w:ilvl w:val="0"/>
          <w:numId w:val="17"/>
        </w:numPr>
        <w:spacing w:after="0" w:line="240" w:lineRule="auto"/>
        <w:contextualSpacing w:val="0"/>
        <w:rPr>
          <w:rFonts w:ascii="Times New Roman" w:hAnsi="Times New Roman" w:cs="Times New Roman"/>
          <w:b/>
          <w:noProof/>
          <w:lang w:eastAsia="pl-PL"/>
        </w:rPr>
      </w:pPr>
      <w:r w:rsidRPr="00E93722">
        <w:rPr>
          <w:rFonts w:ascii="Times New Roman" w:hAnsi="Times New Roman" w:cs="Times New Roman"/>
          <w:b/>
          <w:noProof/>
          <w:lang w:eastAsia="pl-PL"/>
        </w:rPr>
        <w:t>Obliczenia</w:t>
      </w:r>
      <w:r w:rsidRPr="00E93722">
        <w:rPr>
          <w:rFonts w:ascii="Times New Roman" w:hAnsi="Times New Roman" w:cs="Times New Roman"/>
          <w:b/>
          <w:noProof/>
          <w:lang w:eastAsia="pl-PL"/>
        </w:rPr>
        <w:br/>
      </w:r>
      <w:r w:rsidRPr="00E93722">
        <w:rPr>
          <w:rFonts w:ascii="Times New Roman" w:hAnsi="Times New Roman" w:cs="Times New Roman"/>
          <w:noProof/>
          <w:lang w:eastAsia="pl-PL"/>
        </w:rPr>
        <w:t>Obecne zadłużenie = 100*5000/7300 = 68,5%</w:t>
      </w:r>
      <w:r w:rsidRPr="00E93722">
        <w:rPr>
          <w:rFonts w:ascii="Times New Roman" w:hAnsi="Times New Roman" w:cs="Times New Roman"/>
          <w:noProof/>
          <w:lang w:eastAsia="pl-PL"/>
        </w:rPr>
        <w:br/>
        <w:t>Zadłużenie jeśli użyjemy finansowania własnego = 100*5000/(7300+3840) = 45%</w:t>
      </w:r>
      <w:r w:rsidRPr="00E93722">
        <w:rPr>
          <w:rFonts w:ascii="Times New Roman" w:hAnsi="Times New Roman" w:cs="Times New Roman"/>
          <w:noProof/>
          <w:lang w:eastAsia="pl-PL"/>
        </w:rPr>
        <w:br/>
        <w:t>Zadłużenie przy użyciu finansowania długiem = 100*(5000+3840)/7300 = 121%</w:t>
      </w:r>
    </w:p>
    <w:p w:rsidR="00566DD8" w:rsidRPr="00E93722" w:rsidRDefault="00566DD8" w:rsidP="00E93722">
      <w:pPr>
        <w:pStyle w:val="ListParagraph"/>
        <w:spacing w:after="0" w:line="240" w:lineRule="auto"/>
        <w:contextualSpacing w:val="0"/>
        <w:rPr>
          <w:rFonts w:ascii="Times New Roman" w:hAnsi="Times New Roman" w:cs="Times New Roman"/>
          <w:noProof/>
          <w:lang w:eastAsia="pl-PL"/>
        </w:rPr>
      </w:pPr>
    </w:p>
    <w:p w:rsidR="00566DD8" w:rsidRPr="00E93722" w:rsidRDefault="00566DD8" w:rsidP="00E93722">
      <w:pPr>
        <w:spacing w:after="0" w:line="240" w:lineRule="auto"/>
        <w:rPr>
          <w:rFonts w:ascii="Times New Roman" w:hAnsi="Times New Roman" w:cs="Times New Roman"/>
          <w:noProof/>
          <w:lang w:eastAsia="pl-PL"/>
        </w:rPr>
      </w:pPr>
      <w:r w:rsidRPr="00E93722">
        <w:rPr>
          <w:rFonts w:ascii="Times New Roman" w:hAnsi="Times New Roman" w:cs="Times New Roman"/>
          <w:noProof/>
          <w:lang w:eastAsia="pl-PL"/>
        </w:rPr>
        <w:t>Zad.3</w:t>
      </w:r>
      <w:r w:rsidR="009207A6" w:rsidRPr="00E93722">
        <w:rPr>
          <w:rFonts w:ascii="Times New Roman" w:hAnsi="Times New Roman" w:cs="Times New Roman"/>
          <w:noProof/>
          <w:lang w:eastAsia="pl-PL"/>
        </w:rPr>
        <w:t>7</w:t>
      </w:r>
      <w:r w:rsidRPr="00E93722">
        <w:rPr>
          <w:rFonts w:ascii="Times New Roman" w:hAnsi="Times New Roman" w:cs="Times New Roman"/>
          <w:noProof/>
          <w:lang w:eastAsia="pl-PL"/>
        </w:rPr>
        <w:t>.</w:t>
      </w:r>
    </w:p>
    <w:p w:rsidR="00566DD8" w:rsidRPr="00E93722" w:rsidRDefault="00566DD8" w:rsidP="00E93722">
      <w:pPr>
        <w:pStyle w:val="BodyText"/>
        <w:spacing w:after="0" w:line="240" w:lineRule="auto"/>
        <w:jc w:val="both"/>
        <w:rPr>
          <w:rFonts w:ascii="Times New Roman" w:hAnsi="Times New Roman" w:cs="Times New Roman"/>
        </w:rPr>
      </w:pPr>
      <w:r w:rsidRPr="00E93722">
        <w:rPr>
          <w:rFonts w:ascii="Times New Roman" w:hAnsi="Times New Roman" w:cs="Times New Roman"/>
        </w:rPr>
        <w:t>Dartig Co to notowana na giełdzie spółka wytwarzająca produkty konsumenckie, planująca rozszerzyć swoją obecną działalność. Koszty inwestycji to 5 mln $. Będą one sfinansowane emisją praw poboru w proporcji 1:4 w stosunku do aktualnej ilości akcji firmy na rynku. Aktualna cena akcji Dartig Co to 2,50 $ na akcję, a prawa będą emitowane z 20% - ową obniżką. Dyrektor finansowy Dartig Co, oczekuje, że powiększenie firmy pozwoli na utrzymanie przeciętnego wzrostu EPS z poprzednich 4 lat w dającej się przewidzieć przyszłości.</w:t>
      </w:r>
    </w:p>
    <w:p w:rsidR="00566DD8" w:rsidRPr="00E93722" w:rsidRDefault="00566DD8" w:rsidP="00E93722">
      <w:pPr>
        <w:pStyle w:val="BodyText"/>
        <w:spacing w:after="0" w:line="240" w:lineRule="auto"/>
        <w:jc w:val="both"/>
        <w:rPr>
          <w:rFonts w:ascii="Times New Roman" w:hAnsi="Times New Roman" w:cs="Times New Roman"/>
        </w:rPr>
      </w:pPr>
      <w:r w:rsidRPr="00E93722">
        <w:rPr>
          <w:rFonts w:ascii="Times New Roman" w:hAnsi="Times New Roman" w:cs="Times New Roman"/>
        </w:rPr>
        <w:t>EPS i dywidendy na akcję w ostatnich latach kształtują się następująco:</w:t>
      </w:r>
    </w:p>
    <w:tbl>
      <w:tblPr>
        <w:tblW w:w="6780" w:type="dxa"/>
        <w:tblInd w:w="55" w:type="dxa"/>
        <w:tblCellMar>
          <w:left w:w="70" w:type="dxa"/>
          <w:right w:w="70" w:type="dxa"/>
        </w:tblCellMar>
        <w:tblLook w:val="04A0" w:firstRow="1" w:lastRow="0" w:firstColumn="1" w:lastColumn="0" w:noHBand="0" w:noVBand="1"/>
      </w:tblPr>
      <w:tblGrid>
        <w:gridCol w:w="1980"/>
        <w:gridCol w:w="960"/>
        <w:gridCol w:w="960"/>
        <w:gridCol w:w="960"/>
        <w:gridCol w:w="960"/>
        <w:gridCol w:w="960"/>
      </w:tblGrid>
      <w:tr w:rsidR="00566DD8" w:rsidRPr="00E93722" w:rsidTr="009F08FC">
        <w:trPr>
          <w:trHeight w:val="30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6DD8" w:rsidRPr="00E93722" w:rsidRDefault="00566DD8" w:rsidP="00E93722">
            <w:pPr>
              <w:spacing w:after="0" w:line="240" w:lineRule="auto"/>
              <w:jc w:val="both"/>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66DD8" w:rsidRPr="00E93722" w:rsidRDefault="00566DD8" w:rsidP="00E93722">
            <w:pPr>
              <w:spacing w:after="0" w:line="240" w:lineRule="auto"/>
              <w:jc w:val="both"/>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2003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66DD8" w:rsidRPr="00E93722" w:rsidRDefault="00566DD8" w:rsidP="00E93722">
            <w:pPr>
              <w:spacing w:after="0" w:line="240" w:lineRule="auto"/>
              <w:jc w:val="both"/>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2004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66DD8" w:rsidRPr="00E93722" w:rsidRDefault="00566DD8" w:rsidP="00E93722">
            <w:pPr>
              <w:spacing w:after="0" w:line="240" w:lineRule="auto"/>
              <w:jc w:val="both"/>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2005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66DD8" w:rsidRPr="00E93722" w:rsidRDefault="00566DD8" w:rsidP="00E93722">
            <w:pPr>
              <w:spacing w:after="0" w:line="240" w:lineRule="auto"/>
              <w:jc w:val="both"/>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2006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66DD8" w:rsidRPr="00E93722" w:rsidRDefault="00566DD8" w:rsidP="00E93722">
            <w:pPr>
              <w:spacing w:after="0" w:line="240" w:lineRule="auto"/>
              <w:jc w:val="both"/>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2007</w:t>
            </w:r>
          </w:p>
        </w:tc>
      </w:tr>
      <w:tr w:rsidR="00566DD8" w:rsidRPr="00E93722" w:rsidTr="009F08FC">
        <w:trPr>
          <w:trHeight w:val="30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566DD8" w:rsidRPr="00E93722" w:rsidRDefault="00566DD8" w:rsidP="00E93722">
            <w:pPr>
              <w:spacing w:after="0" w:line="240" w:lineRule="auto"/>
              <w:jc w:val="both"/>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 xml:space="preserve">EPS </w:t>
            </w:r>
          </w:p>
        </w:tc>
        <w:tc>
          <w:tcPr>
            <w:tcW w:w="960" w:type="dxa"/>
            <w:tcBorders>
              <w:top w:val="nil"/>
              <w:left w:val="nil"/>
              <w:bottom w:val="single" w:sz="4" w:space="0" w:color="auto"/>
              <w:right w:val="single" w:sz="4" w:space="0" w:color="auto"/>
            </w:tcBorders>
            <w:shd w:val="clear" w:color="auto" w:fill="auto"/>
            <w:noWrap/>
            <w:vAlign w:val="bottom"/>
            <w:hideMark/>
          </w:tcPr>
          <w:p w:rsidR="00566DD8" w:rsidRPr="00E93722" w:rsidRDefault="00566DD8" w:rsidP="00E93722">
            <w:pPr>
              <w:spacing w:after="0" w:line="240" w:lineRule="auto"/>
              <w:jc w:val="both"/>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27,7</w:t>
            </w:r>
          </w:p>
        </w:tc>
        <w:tc>
          <w:tcPr>
            <w:tcW w:w="960" w:type="dxa"/>
            <w:tcBorders>
              <w:top w:val="nil"/>
              <w:left w:val="nil"/>
              <w:bottom w:val="single" w:sz="4" w:space="0" w:color="auto"/>
              <w:right w:val="single" w:sz="4" w:space="0" w:color="auto"/>
            </w:tcBorders>
            <w:shd w:val="clear" w:color="auto" w:fill="auto"/>
            <w:noWrap/>
            <w:vAlign w:val="bottom"/>
            <w:hideMark/>
          </w:tcPr>
          <w:p w:rsidR="00566DD8" w:rsidRPr="00E93722" w:rsidRDefault="00566DD8" w:rsidP="00E93722">
            <w:pPr>
              <w:spacing w:after="0" w:line="240" w:lineRule="auto"/>
              <w:jc w:val="both"/>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29,0</w:t>
            </w:r>
          </w:p>
        </w:tc>
        <w:tc>
          <w:tcPr>
            <w:tcW w:w="960" w:type="dxa"/>
            <w:tcBorders>
              <w:top w:val="nil"/>
              <w:left w:val="nil"/>
              <w:bottom w:val="single" w:sz="4" w:space="0" w:color="auto"/>
              <w:right w:val="single" w:sz="4" w:space="0" w:color="auto"/>
            </w:tcBorders>
            <w:shd w:val="clear" w:color="auto" w:fill="auto"/>
            <w:noWrap/>
            <w:vAlign w:val="bottom"/>
            <w:hideMark/>
          </w:tcPr>
          <w:p w:rsidR="00566DD8" w:rsidRPr="00E93722" w:rsidRDefault="00566DD8" w:rsidP="00E93722">
            <w:pPr>
              <w:spacing w:after="0" w:line="240" w:lineRule="auto"/>
              <w:jc w:val="both"/>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29,0</w:t>
            </w:r>
          </w:p>
        </w:tc>
        <w:tc>
          <w:tcPr>
            <w:tcW w:w="960" w:type="dxa"/>
            <w:tcBorders>
              <w:top w:val="nil"/>
              <w:left w:val="nil"/>
              <w:bottom w:val="single" w:sz="4" w:space="0" w:color="auto"/>
              <w:right w:val="single" w:sz="4" w:space="0" w:color="auto"/>
            </w:tcBorders>
            <w:shd w:val="clear" w:color="auto" w:fill="auto"/>
            <w:noWrap/>
            <w:vAlign w:val="bottom"/>
            <w:hideMark/>
          </w:tcPr>
          <w:p w:rsidR="00566DD8" w:rsidRPr="00E93722" w:rsidRDefault="00566DD8" w:rsidP="00E93722">
            <w:pPr>
              <w:spacing w:after="0" w:line="240" w:lineRule="auto"/>
              <w:jc w:val="both"/>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30,2</w:t>
            </w:r>
          </w:p>
        </w:tc>
        <w:tc>
          <w:tcPr>
            <w:tcW w:w="960" w:type="dxa"/>
            <w:tcBorders>
              <w:top w:val="nil"/>
              <w:left w:val="nil"/>
              <w:bottom w:val="single" w:sz="4" w:space="0" w:color="auto"/>
              <w:right w:val="single" w:sz="4" w:space="0" w:color="auto"/>
            </w:tcBorders>
            <w:shd w:val="clear" w:color="auto" w:fill="auto"/>
            <w:noWrap/>
            <w:vAlign w:val="bottom"/>
            <w:hideMark/>
          </w:tcPr>
          <w:p w:rsidR="00566DD8" w:rsidRPr="00E93722" w:rsidRDefault="00566DD8" w:rsidP="00E93722">
            <w:pPr>
              <w:spacing w:after="0" w:line="240" w:lineRule="auto"/>
              <w:jc w:val="both"/>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32,4</w:t>
            </w:r>
          </w:p>
        </w:tc>
      </w:tr>
      <w:tr w:rsidR="00566DD8" w:rsidRPr="00E93722" w:rsidTr="009F08FC">
        <w:trPr>
          <w:trHeight w:val="30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566DD8" w:rsidRPr="00E93722" w:rsidRDefault="00566DD8" w:rsidP="00E93722">
            <w:pPr>
              <w:spacing w:after="0" w:line="240" w:lineRule="auto"/>
              <w:jc w:val="both"/>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Dywidenda na akcje</w:t>
            </w:r>
          </w:p>
        </w:tc>
        <w:tc>
          <w:tcPr>
            <w:tcW w:w="960" w:type="dxa"/>
            <w:tcBorders>
              <w:top w:val="nil"/>
              <w:left w:val="nil"/>
              <w:bottom w:val="single" w:sz="4" w:space="0" w:color="auto"/>
              <w:right w:val="single" w:sz="4" w:space="0" w:color="auto"/>
            </w:tcBorders>
            <w:shd w:val="clear" w:color="auto" w:fill="auto"/>
            <w:noWrap/>
            <w:vAlign w:val="bottom"/>
            <w:hideMark/>
          </w:tcPr>
          <w:p w:rsidR="00566DD8" w:rsidRPr="00E93722" w:rsidRDefault="00566DD8" w:rsidP="00E93722">
            <w:pPr>
              <w:spacing w:after="0" w:line="240" w:lineRule="auto"/>
              <w:jc w:val="both"/>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12,8</w:t>
            </w:r>
          </w:p>
        </w:tc>
        <w:tc>
          <w:tcPr>
            <w:tcW w:w="960" w:type="dxa"/>
            <w:tcBorders>
              <w:top w:val="nil"/>
              <w:left w:val="nil"/>
              <w:bottom w:val="single" w:sz="4" w:space="0" w:color="auto"/>
              <w:right w:val="single" w:sz="4" w:space="0" w:color="auto"/>
            </w:tcBorders>
            <w:shd w:val="clear" w:color="auto" w:fill="auto"/>
            <w:noWrap/>
            <w:vAlign w:val="bottom"/>
            <w:hideMark/>
          </w:tcPr>
          <w:p w:rsidR="00566DD8" w:rsidRPr="00E93722" w:rsidRDefault="00566DD8" w:rsidP="00E93722">
            <w:pPr>
              <w:spacing w:after="0" w:line="240" w:lineRule="auto"/>
              <w:jc w:val="both"/>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13,5</w:t>
            </w:r>
          </w:p>
        </w:tc>
        <w:tc>
          <w:tcPr>
            <w:tcW w:w="960" w:type="dxa"/>
            <w:tcBorders>
              <w:top w:val="nil"/>
              <w:left w:val="nil"/>
              <w:bottom w:val="single" w:sz="4" w:space="0" w:color="auto"/>
              <w:right w:val="single" w:sz="4" w:space="0" w:color="auto"/>
            </w:tcBorders>
            <w:shd w:val="clear" w:color="auto" w:fill="auto"/>
            <w:noWrap/>
            <w:vAlign w:val="bottom"/>
            <w:hideMark/>
          </w:tcPr>
          <w:p w:rsidR="00566DD8" w:rsidRPr="00E93722" w:rsidRDefault="00566DD8" w:rsidP="00E93722">
            <w:pPr>
              <w:spacing w:after="0" w:line="240" w:lineRule="auto"/>
              <w:jc w:val="both"/>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13,5</w:t>
            </w:r>
          </w:p>
        </w:tc>
        <w:tc>
          <w:tcPr>
            <w:tcW w:w="960" w:type="dxa"/>
            <w:tcBorders>
              <w:top w:val="nil"/>
              <w:left w:val="nil"/>
              <w:bottom w:val="single" w:sz="4" w:space="0" w:color="auto"/>
              <w:right w:val="single" w:sz="4" w:space="0" w:color="auto"/>
            </w:tcBorders>
            <w:shd w:val="clear" w:color="auto" w:fill="auto"/>
            <w:noWrap/>
            <w:vAlign w:val="bottom"/>
            <w:hideMark/>
          </w:tcPr>
          <w:p w:rsidR="00566DD8" w:rsidRPr="00E93722" w:rsidRDefault="00566DD8" w:rsidP="00E93722">
            <w:pPr>
              <w:spacing w:after="0" w:line="240" w:lineRule="auto"/>
              <w:jc w:val="both"/>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14,5</w:t>
            </w:r>
          </w:p>
        </w:tc>
        <w:tc>
          <w:tcPr>
            <w:tcW w:w="960" w:type="dxa"/>
            <w:tcBorders>
              <w:top w:val="nil"/>
              <w:left w:val="nil"/>
              <w:bottom w:val="single" w:sz="4" w:space="0" w:color="auto"/>
              <w:right w:val="single" w:sz="4" w:space="0" w:color="auto"/>
            </w:tcBorders>
            <w:shd w:val="clear" w:color="auto" w:fill="auto"/>
            <w:noWrap/>
            <w:vAlign w:val="bottom"/>
            <w:hideMark/>
          </w:tcPr>
          <w:p w:rsidR="00566DD8" w:rsidRPr="00E93722" w:rsidRDefault="00566DD8" w:rsidP="00E93722">
            <w:pPr>
              <w:spacing w:after="0" w:line="240" w:lineRule="auto"/>
              <w:jc w:val="both"/>
              <w:rPr>
                <w:rFonts w:ascii="Times New Roman" w:eastAsia="Times New Roman" w:hAnsi="Times New Roman" w:cs="Times New Roman"/>
                <w:color w:val="000000"/>
                <w:lang w:eastAsia="pl-PL"/>
              </w:rPr>
            </w:pPr>
            <w:r w:rsidRPr="00E93722">
              <w:rPr>
                <w:rFonts w:ascii="Times New Roman" w:eastAsia="Times New Roman" w:hAnsi="Times New Roman" w:cs="Times New Roman"/>
                <w:color w:val="000000"/>
                <w:lang w:eastAsia="pl-PL"/>
              </w:rPr>
              <w:t>15,0</w:t>
            </w:r>
          </w:p>
        </w:tc>
      </w:tr>
    </w:tbl>
    <w:p w:rsidR="00566DD8" w:rsidRPr="00E93722" w:rsidRDefault="00566DD8" w:rsidP="00E93722">
      <w:pPr>
        <w:spacing w:after="0" w:line="240" w:lineRule="auto"/>
        <w:jc w:val="both"/>
        <w:rPr>
          <w:rFonts w:ascii="Times New Roman" w:hAnsi="Times New Roman" w:cs="Times New Roman"/>
        </w:rPr>
      </w:pPr>
    </w:p>
    <w:p w:rsidR="00566DD8" w:rsidRPr="00E93722" w:rsidRDefault="00566DD8" w:rsidP="00E93722">
      <w:pPr>
        <w:pStyle w:val="BodyText"/>
        <w:spacing w:after="0" w:line="240" w:lineRule="auto"/>
        <w:jc w:val="both"/>
        <w:rPr>
          <w:rFonts w:ascii="Times New Roman" w:hAnsi="Times New Roman" w:cs="Times New Roman"/>
        </w:rPr>
      </w:pPr>
      <w:r w:rsidRPr="00E93722">
        <w:rPr>
          <w:rFonts w:ascii="Times New Roman" w:hAnsi="Times New Roman" w:cs="Times New Roman"/>
        </w:rPr>
        <w:t>Dartig Co ma koszt kapitału własnego w wysokości 10%. Wskaźnik P/E był w ostatnich latach w przybliżeniu stały. Pomiń koszty emisji.</w:t>
      </w:r>
    </w:p>
    <w:p w:rsidR="00566DD8" w:rsidRPr="00E93722" w:rsidRDefault="00566DD8" w:rsidP="00E93722">
      <w:pPr>
        <w:pStyle w:val="BodyText"/>
        <w:spacing w:after="0" w:line="240" w:lineRule="auto"/>
        <w:jc w:val="both"/>
        <w:rPr>
          <w:rFonts w:ascii="Times New Roman" w:hAnsi="Times New Roman" w:cs="Times New Roman"/>
        </w:rPr>
      </w:pPr>
      <w:r w:rsidRPr="00E93722">
        <w:rPr>
          <w:rFonts w:ascii="Times New Roman" w:hAnsi="Times New Roman" w:cs="Times New Roman"/>
        </w:rPr>
        <w:t xml:space="preserve">Wymagane </w:t>
      </w:r>
      <w:r w:rsidRPr="00E93722">
        <w:rPr>
          <w:rFonts w:ascii="Times New Roman" w:hAnsi="Times New Roman" w:cs="Times New Roman"/>
        </w:rPr>
        <w:br/>
        <w:t>a) oblicz TERP – teoretyczną wartość akcji po emisji praw poboru przed podjęciem inwestycji.</w:t>
      </w:r>
      <w:r w:rsidRPr="00E93722">
        <w:rPr>
          <w:rFonts w:ascii="Times New Roman" w:hAnsi="Times New Roman" w:cs="Times New Roman"/>
        </w:rPr>
        <w:br/>
        <w:t>b) oblicz spodziewaną cenę akcji w efekcie rozwoju (inwestycji) firmy używając wskaźnika P/E.</w:t>
      </w:r>
      <w:r w:rsidRPr="00E93722">
        <w:rPr>
          <w:rFonts w:ascii="Times New Roman" w:hAnsi="Times New Roman" w:cs="Times New Roman"/>
        </w:rPr>
        <w:br/>
        <w:t>c) przedyskutuj czy jest to akceptowalne dla inwestorów aby sfinansować proponowaną inwestycję w rozwój spółki wpływami z emisji akcji. Jak to wpłynęłoby na majątek udziałowców?</w:t>
      </w:r>
    </w:p>
    <w:p w:rsidR="00566DD8" w:rsidRPr="00E93722" w:rsidRDefault="00566DD8" w:rsidP="00E93722">
      <w:pPr>
        <w:pStyle w:val="BodyText"/>
        <w:spacing w:after="0" w:line="240" w:lineRule="auto"/>
        <w:jc w:val="both"/>
        <w:rPr>
          <w:rFonts w:ascii="Times New Roman" w:hAnsi="Times New Roman" w:cs="Times New Roman"/>
        </w:rPr>
      </w:pPr>
      <w:r w:rsidRPr="00E93722">
        <w:rPr>
          <w:rFonts w:ascii="Times New Roman" w:hAnsi="Times New Roman" w:cs="Times New Roman"/>
        </w:rPr>
        <w:t xml:space="preserve">d) na ostatnim spotkaniu zarządu Dartig Co, członek zarządu niepełniący w firmie funkcji kierowniczych (nie zarządzający spółką) zaproponował, by dział wynagrodzeń rozważył porzucenie dotychczasowej polityki opcji na akcje dla pracowników firmy (share option scheme), ponieważ kadra kierownicza mogłaby czerpać z tego zyski nawet jeżeli w rzeczywistości nie osiągaliby dobrych rezultatów. </w:t>
      </w:r>
    </w:p>
    <w:p w:rsidR="00566DD8" w:rsidRPr="00E93722" w:rsidRDefault="00566DD8" w:rsidP="00E93722">
      <w:pPr>
        <w:pStyle w:val="Heading1"/>
        <w:spacing w:before="0" w:line="240" w:lineRule="auto"/>
        <w:jc w:val="both"/>
        <w:rPr>
          <w:rFonts w:ascii="Times New Roman" w:eastAsiaTheme="minorHAnsi" w:hAnsi="Times New Roman" w:cs="Times New Roman"/>
          <w:color w:val="auto"/>
          <w:sz w:val="22"/>
          <w:szCs w:val="22"/>
        </w:rPr>
      </w:pPr>
      <w:r w:rsidRPr="00E93722">
        <w:rPr>
          <w:rFonts w:ascii="Times New Roman" w:eastAsiaTheme="minorHAnsi" w:hAnsi="Times New Roman" w:cs="Times New Roman"/>
          <w:color w:val="auto"/>
          <w:sz w:val="22"/>
          <w:szCs w:val="22"/>
        </w:rPr>
        <w:t xml:space="preserve">Drugi członek zarządu niepełniący funkcji kierowniczych (niezarządzający spółką) pozwolił sobie się nie zgodzić i powiedział, że jeżeli ceny akcji na rynku spadają (np. z powodu dekoniunktury gospodarczej) to nawet jeżeli zarząd obniżał konflikty agencyjne (czyli powinni być wynagrodzeni) to opcje na akcje i tak nie miały żadnej wartości i zarząd nie był wynagradzany (był to argument że opcje na akcje mogą czasami przynosić korzyści mimo że zarząd nie zwiększa wartości spółki, ale też czasami opcje na akcje nie przynoszą korzyści zarządowi, mimo że zwiększa wartość spółki). </w:t>
      </w:r>
    </w:p>
    <w:p w:rsidR="00566DD8" w:rsidRPr="00E93722" w:rsidRDefault="00566DD8" w:rsidP="00E93722">
      <w:pPr>
        <w:pStyle w:val="BodyText"/>
        <w:spacing w:after="0" w:line="240" w:lineRule="auto"/>
        <w:jc w:val="both"/>
        <w:rPr>
          <w:rFonts w:ascii="Times New Roman" w:hAnsi="Times New Roman" w:cs="Times New Roman"/>
          <w:noProof/>
          <w:lang w:eastAsia="pl-PL"/>
        </w:rPr>
      </w:pPr>
    </w:p>
    <w:p w:rsidR="00566DD8" w:rsidRPr="00E93722" w:rsidRDefault="00566DD8" w:rsidP="00E93722">
      <w:pPr>
        <w:pStyle w:val="BodyText"/>
        <w:spacing w:after="0" w:line="240" w:lineRule="auto"/>
        <w:jc w:val="both"/>
        <w:rPr>
          <w:rFonts w:ascii="Times New Roman" w:hAnsi="Times New Roman" w:cs="Times New Roman"/>
          <w:noProof/>
          <w:lang w:eastAsia="pl-PL"/>
        </w:rPr>
      </w:pPr>
      <w:r w:rsidRPr="00E93722">
        <w:rPr>
          <w:rFonts w:ascii="Times New Roman" w:hAnsi="Times New Roman" w:cs="Times New Roman"/>
          <w:noProof/>
          <w:lang w:eastAsia="pl-PL"/>
        </w:rPr>
        <w:t>Polecenia:</w:t>
      </w:r>
    </w:p>
    <w:p w:rsidR="00566DD8" w:rsidRPr="00E93722" w:rsidRDefault="00566DD8" w:rsidP="00E93722">
      <w:pPr>
        <w:pStyle w:val="BodyText"/>
        <w:spacing w:after="0" w:line="240" w:lineRule="auto"/>
        <w:jc w:val="both"/>
        <w:rPr>
          <w:rFonts w:ascii="Times New Roman" w:hAnsi="Times New Roman" w:cs="Times New Roman"/>
          <w:noProof/>
          <w:lang w:eastAsia="pl-PL"/>
        </w:rPr>
      </w:pPr>
      <w:r w:rsidRPr="00E93722">
        <w:rPr>
          <w:rFonts w:ascii="Times New Roman" w:hAnsi="Times New Roman" w:cs="Times New Roman"/>
          <w:noProof/>
          <w:lang w:eastAsia="pl-PL"/>
        </w:rPr>
        <w:t>Wytłumacz na czym polega problem agencji i przedyskutuj użycie opcji na akcje jako motywacji dla kadry kierowniczej jako sposobu minimalizowania konfliktów agencyjnych w spółce akcyjnej Dartig Co.</w:t>
      </w:r>
    </w:p>
    <w:p w:rsidR="00566DD8" w:rsidRPr="00E93722" w:rsidRDefault="00566DD8" w:rsidP="00E93722">
      <w:pPr>
        <w:pStyle w:val="BodyText"/>
        <w:spacing w:after="0" w:line="240" w:lineRule="auto"/>
        <w:jc w:val="both"/>
        <w:rPr>
          <w:rFonts w:ascii="Times New Roman" w:hAnsi="Times New Roman" w:cs="Times New Roman"/>
        </w:rPr>
      </w:pPr>
      <w:r w:rsidRPr="00E93722">
        <w:rPr>
          <w:rFonts w:ascii="Times New Roman" w:hAnsi="Times New Roman" w:cs="Times New Roman"/>
        </w:rPr>
        <w:t>Rozwiązanie:</w:t>
      </w:r>
      <w:r w:rsidRPr="00E93722">
        <w:rPr>
          <w:rFonts w:ascii="Times New Roman" w:hAnsi="Times New Roman" w:cs="Times New Roman"/>
        </w:rPr>
        <w:br/>
      </w:r>
    </w:p>
    <w:p w:rsidR="00566DD8" w:rsidRPr="00E93722" w:rsidRDefault="00566DD8" w:rsidP="00E93722">
      <w:pPr>
        <w:pStyle w:val="BodyText"/>
        <w:spacing w:after="0" w:line="240" w:lineRule="auto"/>
        <w:jc w:val="both"/>
        <w:rPr>
          <w:rFonts w:ascii="Times New Roman" w:hAnsi="Times New Roman" w:cs="Times New Roman"/>
        </w:rPr>
      </w:pPr>
      <w:r w:rsidRPr="00E93722">
        <w:rPr>
          <w:rFonts w:ascii="Times New Roman" w:hAnsi="Times New Roman" w:cs="Times New Roman"/>
        </w:rPr>
        <w:t>a) cena praw poboru = 2,5*0,8=2,00$ na akcję</w:t>
      </w:r>
    </w:p>
    <w:p w:rsidR="00F43E10" w:rsidRDefault="00566DD8" w:rsidP="00E93722">
      <w:pPr>
        <w:pStyle w:val="BodyText"/>
        <w:spacing w:after="0" w:line="240" w:lineRule="auto"/>
        <w:jc w:val="both"/>
        <w:rPr>
          <w:rFonts w:ascii="Times New Roman" w:hAnsi="Times New Roman" w:cs="Times New Roman"/>
          <w:lang w:val="en-US"/>
        </w:rPr>
      </w:pPr>
      <w:r w:rsidRPr="00E93722">
        <w:rPr>
          <w:rFonts w:ascii="Times New Roman" w:hAnsi="Times New Roman" w:cs="Times New Roman"/>
          <w:lang w:val="en-US"/>
        </w:rPr>
        <w:t>TERP(Theoretical ex rights price) = (2,50*4) + (1*2,00)/5 = 2,40$ na akcję</w:t>
      </w:r>
    </w:p>
    <w:p w:rsidR="00566DD8" w:rsidRPr="00E93722" w:rsidRDefault="00566DD8" w:rsidP="00E93722">
      <w:pPr>
        <w:pStyle w:val="BodyText"/>
        <w:spacing w:after="0" w:line="240" w:lineRule="auto"/>
        <w:jc w:val="both"/>
        <w:rPr>
          <w:rFonts w:ascii="Times New Roman" w:hAnsi="Times New Roman" w:cs="Times New Roman"/>
          <w:lang w:val="en-US"/>
        </w:rPr>
      </w:pPr>
      <w:r w:rsidRPr="00E93722">
        <w:rPr>
          <w:rFonts w:ascii="Times New Roman" w:hAnsi="Times New Roman" w:cs="Times New Roman"/>
          <w:lang w:val="en-US"/>
        </w:rPr>
        <w:br/>
      </w:r>
    </w:p>
    <w:p w:rsidR="00566DD8" w:rsidRPr="00E93722" w:rsidRDefault="00566DD8" w:rsidP="00E93722">
      <w:pPr>
        <w:pStyle w:val="BodyText"/>
        <w:spacing w:after="0" w:line="240" w:lineRule="auto"/>
        <w:jc w:val="both"/>
        <w:rPr>
          <w:rFonts w:ascii="Times New Roman" w:hAnsi="Times New Roman" w:cs="Times New Roman"/>
          <w:b/>
        </w:rPr>
      </w:pPr>
      <w:r w:rsidRPr="00E93722">
        <w:rPr>
          <w:rFonts w:ascii="Times New Roman" w:hAnsi="Times New Roman" w:cs="Times New Roman"/>
          <w:b/>
        </w:rPr>
        <w:t>II sposób</w:t>
      </w:r>
    </w:p>
    <w:p w:rsidR="00566DD8" w:rsidRPr="00E93722" w:rsidRDefault="00566DD8" w:rsidP="00E93722">
      <w:pPr>
        <w:pStyle w:val="BodyText"/>
        <w:spacing w:after="0" w:line="240" w:lineRule="auto"/>
        <w:jc w:val="both"/>
        <w:rPr>
          <w:rFonts w:ascii="Times New Roman" w:hAnsi="Times New Roman" w:cs="Times New Roman"/>
        </w:rPr>
      </w:pPr>
      <w:r w:rsidRPr="00E93722">
        <w:rPr>
          <w:rFonts w:ascii="Times New Roman" w:hAnsi="Times New Roman" w:cs="Times New Roman"/>
        </w:rPr>
        <w:br/>
        <w:t>Liczba wyemitowanych praw = 5 mln $/2,00$ = 2,5 mln akcji</w:t>
      </w:r>
    </w:p>
    <w:p w:rsidR="00566DD8" w:rsidRPr="00E93722" w:rsidRDefault="00566DD8" w:rsidP="00E93722">
      <w:pPr>
        <w:pStyle w:val="BodyText"/>
        <w:spacing w:after="0" w:line="240" w:lineRule="auto"/>
        <w:jc w:val="both"/>
        <w:rPr>
          <w:rFonts w:ascii="Times New Roman" w:hAnsi="Times New Roman" w:cs="Times New Roman"/>
        </w:rPr>
      </w:pPr>
      <w:r w:rsidRPr="00E93722">
        <w:rPr>
          <w:rFonts w:ascii="Times New Roman" w:hAnsi="Times New Roman" w:cs="Times New Roman"/>
        </w:rPr>
        <w:lastRenderedPageBreak/>
        <w:br/>
        <w:t>Liczba istniejących akcji = 4*2,5 mln = 10 mln akcji</w:t>
      </w:r>
    </w:p>
    <w:p w:rsidR="00566DD8" w:rsidRPr="00E93722" w:rsidRDefault="00566DD8" w:rsidP="00E93722">
      <w:pPr>
        <w:pStyle w:val="BodyText"/>
        <w:spacing w:after="0" w:line="240" w:lineRule="auto"/>
        <w:jc w:val="both"/>
        <w:rPr>
          <w:rFonts w:ascii="Times New Roman" w:hAnsi="Times New Roman" w:cs="Times New Roman"/>
        </w:rPr>
      </w:pPr>
      <w:r w:rsidRPr="00E93722">
        <w:rPr>
          <w:rFonts w:ascii="Times New Roman" w:hAnsi="Times New Roman" w:cs="Times New Roman"/>
        </w:rPr>
        <w:br/>
        <w:t>TERP = ((10 mln*2,50) + (2,5 mln*2,00))/12,5 mln = 2,40 $ na akcję</w:t>
      </w:r>
    </w:p>
    <w:p w:rsidR="00566DD8" w:rsidRPr="00E93722" w:rsidRDefault="00566DD8" w:rsidP="00E93722">
      <w:pPr>
        <w:pStyle w:val="BodyText"/>
        <w:spacing w:after="0" w:line="240" w:lineRule="auto"/>
        <w:jc w:val="both"/>
        <w:rPr>
          <w:rFonts w:ascii="Times New Roman" w:hAnsi="Times New Roman" w:cs="Times New Roman"/>
        </w:rPr>
      </w:pPr>
    </w:p>
    <w:p w:rsidR="00566DD8" w:rsidRPr="00E93722" w:rsidRDefault="00566DD8" w:rsidP="00E93722">
      <w:pPr>
        <w:pStyle w:val="List"/>
        <w:spacing w:after="0" w:line="240" w:lineRule="auto"/>
        <w:contextualSpacing w:val="0"/>
        <w:jc w:val="both"/>
        <w:rPr>
          <w:rFonts w:ascii="Times New Roman" w:hAnsi="Times New Roman" w:cs="Times New Roman"/>
          <w:noProof/>
          <w:lang w:eastAsia="pl-PL"/>
        </w:rPr>
      </w:pPr>
      <w:r w:rsidRPr="00E93722">
        <w:rPr>
          <w:rFonts w:ascii="Times New Roman" w:hAnsi="Times New Roman" w:cs="Times New Roman"/>
        </w:rPr>
        <w:t>b)</w:t>
      </w:r>
      <w:r w:rsidRPr="00E93722">
        <w:rPr>
          <w:rFonts w:ascii="Times New Roman" w:hAnsi="Times New Roman" w:cs="Times New Roman"/>
          <w:noProof/>
          <w:lang w:eastAsia="pl-PL"/>
        </w:rPr>
        <w:tab/>
        <w:t>Aktaulny wskaźnik cena/zysk = 250/32,4 = 7,7</w:t>
      </w:r>
    </w:p>
    <w:p w:rsidR="00566DD8" w:rsidRPr="00E93722" w:rsidRDefault="00566DD8" w:rsidP="00E93722">
      <w:pPr>
        <w:pStyle w:val="List"/>
        <w:spacing w:after="0" w:line="240" w:lineRule="auto"/>
        <w:contextualSpacing w:val="0"/>
        <w:jc w:val="both"/>
        <w:rPr>
          <w:rFonts w:ascii="Times New Roman" w:hAnsi="Times New Roman" w:cs="Times New Roman"/>
          <w:noProof/>
          <w:lang w:eastAsia="pl-PL"/>
        </w:rPr>
      </w:pPr>
      <w:r w:rsidRPr="00E93722">
        <w:rPr>
          <w:rFonts w:ascii="Times New Roman" w:hAnsi="Times New Roman" w:cs="Times New Roman"/>
          <w:noProof/>
          <w:lang w:eastAsia="pl-PL"/>
        </w:rPr>
        <w:br/>
        <w:t>Średnia stopa wzrostu wskaźnika EPS w poprzednich latach= 100 *(32,4/27,7)</w:t>
      </w:r>
      <w:r w:rsidRPr="00E93722">
        <w:rPr>
          <w:rFonts w:ascii="Times New Roman" w:hAnsi="Times New Roman" w:cs="Times New Roman"/>
          <w:noProof/>
          <w:vertAlign w:val="superscript"/>
          <w:lang w:eastAsia="pl-PL"/>
        </w:rPr>
        <w:t>0,25</w:t>
      </w:r>
      <w:r w:rsidRPr="00E93722">
        <w:rPr>
          <w:rFonts w:ascii="Times New Roman" w:hAnsi="Times New Roman" w:cs="Times New Roman"/>
          <w:noProof/>
          <w:lang w:eastAsia="pl-PL"/>
        </w:rPr>
        <w:t>-1) = 4,0%</w:t>
      </w:r>
      <w:r w:rsidRPr="00E93722">
        <w:rPr>
          <w:rFonts w:ascii="Times New Roman" w:hAnsi="Times New Roman" w:cs="Times New Roman"/>
          <w:noProof/>
          <w:lang w:eastAsia="pl-PL"/>
        </w:rPr>
        <w:br/>
        <w:t>Późniejszy wzrost EPS = 32,4*1,04 = 33,7c na akcję</w:t>
      </w:r>
    </w:p>
    <w:p w:rsidR="00566DD8" w:rsidRPr="00E93722" w:rsidRDefault="00566DD8" w:rsidP="00E93722">
      <w:pPr>
        <w:pStyle w:val="List"/>
        <w:spacing w:after="0" w:line="240" w:lineRule="auto"/>
        <w:contextualSpacing w:val="0"/>
        <w:jc w:val="both"/>
        <w:rPr>
          <w:rFonts w:ascii="Times New Roman" w:hAnsi="Times New Roman" w:cs="Times New Roman"/>
          <w:noProof/>
          <w:lang w:eastAsia="pl-PL"/>
        </w:rPr>
      </w:pPr>
      <w:r w:rsidRPr="00E93722">
        <w:rPr>
          <w:rFonts w:ascii="Times New Roman" w:hAnsi="Times New Roman" w:cs="Times New Roman"/>
          <w:noProof/>
          <w:lang w:eastAsia="pl-PL"/>
        </w:rPr>
        <w:br/>
        <w:t>Cena akcji przewidywana (na podstawie P/E) = 33,7*7,7= 2,60$</w:t>
      </w:r>
    </w:p>
    <w:p w:rsidR="00566DD8" w:rsidRPr="00E93722" w:rsidRDefault="00566DD8" w:rsidP="00E93722">
      <w:pPr>
        <w:pStyle w:val="List"/>
        <w:spacing w:after="0" w:line="240" w:lineRule="auto"/>
        <w:contextualSpacing w:val="0"/>
        <w:jc w:val="both"/>
        <w:rPr>
          <w:rFonts w:ascii="Times New Roman" w:hAnsi="Times New Roman" w:cs="Times New Roman"/>
          <w:noProof/>
          <w:lang w:eastAsia="pl-PL"/>
        </w:rPr>
      </w:pPr>
      <w:r w:rsidRPr="00E93722">
        <w:rPr>
          <w:rFonts w:ascii="Times New Roman" w:hAnsi="Times New Roman" w:cs="Times New Roman"/>
          <w:noProof/>
          <w:lang w:eastAsia="pl-PL"/>
        </w:rPr>
        <w:br/>
        <w:t xml:space="preserve">Skoro wskaźnik P/E firmy Dartig Co pozostawał stały w ostatnich latach, zasadnym jest zastosowanie aktualnego poziomu wskaźnika P/E do skorygowanego wskaźnika EPS </w:t>
      </w:r>
    </w:p>
    <w:p w:rsidR="00566DD8" w:rsidRPr="00E93722" w:rsidRDefault="00566DD8" w:rsidP="00E93722">
      <w:pPr>
        <w:pStyle w:val="List"/>
        <w:spacing w:after="0" w:line="240" w:lineRule="auto"/>
        <w:contextualSpacing w:val="0"/>
        <w:jc w:val="both"/>
        <w:rPr>
          <w:rFonts w:ascii="Times New Roman" w:hAnsi="Times New Roman" w:cs="Times New Roman"/>
          <w:noProof/>
          <w:lang w:eastAsia="pl-PL"/>
        </w:rPr>
      </w:pPr>
    </w:p>
    <w:p w:rsidR="00566DD8" w:rsidRPr="00E93722" w:rsidRDefault="00566DD8" w:rsidP="00E93722">
      <w:pPr>
        <w:pStyle w:val="List"/>
        <w:spacing w:after="0" w:line="240" w:lineRule="auto"/>
        <w:contextualSpacing w:val="0"/>
        <w:jc w:val="both"/>
        <w:rPr>
          <w:rFonts w:ascii="Times New Roman" w:hAnsi="Times New Roman" w:cs="Times New Roman"/>
          <w:noProof/>
          <w:lang w:eastAsia="pl-PL"/>
        </w:rPr>
      </w:pPr>
      <w:r w:rsidRPr="00E93722">
        <w:rPr>
          <w:rFonts w:ascii="Times New Roman" w:hAnsi="Times New Roman" w:cs="Times New Roman"/>
          <w:noProof/>
          <w:lang w:eastAsia="pl-PL"/>
        </w:rPr>
        <w:t>c)</w:t>
      </w:r>
      <w:r w:rsidRPr="00E93722">
        <w:rPr>
          <w:rFonts w:ascii="Times New Roman" w:hAnsi="Times New Roman" w:cs="Times New Roman"/>
          <w:noProof/>
          <w:lang w:eastAsia="pl-PL"/>
        </w:rPr>
        <w:tab/>
        <w:t xml:space="preserve">Proponowany rozwój działalności będzie zasadnym sposobem użycia funduszy z emisji praw poboru, jeśli zwiększy to majątek udziałowców. </w:t>
      </w:r>
    </w:p>
    <w:p w:rsidR="00566DD8" w:rsidRPr="00E93722" w:rsidRDefault="00566DD8" w:rsidP="00E93722">
      <w:pPr>
        <w:pStyle w:val="List"/>
        <w:spacing w:after="0" w:line="240" w:lineRule="auto"/>
        <w:contextualSpacing w:val="0"/>
        <w:jc w:val="both"/>
        <w:rPr>
          <w:rFonts w:ascii="Times New Roman" w:hAnsi="Times New Roman" w:cs="Times New Roman"/>
          <w:noProof/>
          <w:lang w:eastAsia="pl-PL"/>
        </w:rPr>
      </w:pPr>
      <w:r w:rsidRPr="00E93722">
        <w:rPr>
          <w:rFonts w:ascii="Times New Roman" w:hAnsi="Times New Roman" w:cs="Times New Roman"/>
          <w:noProof/>
          <w:lang w:eastAsia="pl-PL"/>
        </w:rPr>
        <w:t xml:space="preserve">Cena akcji prognozowana w oparciu o wskaźnik P/E wynosi 2,60$. </w:t>
      </w:r>
    </w:p>
    <w:p w:rsidR="00566DD8" w:rsidRPr="00E93722" w:rsidRDefault="00566DD8" w:rsidP="00E93722">
      <w:pPr>
        <w:pStyle w:val="List"/>
        <w:spacing w:after="0" w:line="240" w:lineRule="auto"/>
        <w:contextualSpacing w:val="0"/>
        <w:jc w:val="both"/>
        <w:rPr>
          <w:rFonts w:ascii="Times New Roman" w:hAnsi="Times New Roman" w:cs="Times New Roman"/>
          <w:noProof/>
          <w:lang w:eastAsia="pl-PL"/>
        </w:rPr>
      </w:pPr>
      <w:r w:rsidRPr="00E93722">
        <w:rPr>
          <w:rFonts w:ascii="Times New Roman" w:hAnsi="Times New Roman" w:cs="Times New Roman"/>
          <w:noProof/>
          <w:lang w:eastAsia="pl-PL"/>
        </w:rPr>
        <w:t xml:space="preserve">To więcej niż obecna cena akcji wynosząca 2,50$. </w:t>
      </w:r>
    </w:p>
    <w:p w:rsidR="00566DD8" w:rsidRPr="00E93722" w:rsidRDefault="00566DD8" w:rsidP="00E93722">
      <w:pPr>
        <w:pStyle w:val="List"/>
        <w:spacing w:after="0" w:line="240" w:lineRule="auto"/>
        <w:contextualSpacing w:val="0"/>
        <w:jc w:val="both"/>
        <w:rPr>
          <w:rFonts w:ascii="Times New Roman" w:hAnsi="Times New Roman" w:cs="Times New Roman"/>
          <w:noProof/>
          <w:lang w:eastAsia="pl-PL"/>
        </w:rPr>
      </w:pPr>
      <w:r w:rsidRPr="00E93722">
        <w:rPr>
          <w:rFonts w:ascii="Times New Roman" w:hAnsi="Times New Roman" w:cs="Times New Roman"/>
          <w:noProof/>
          <w:lang w:eastAsia="pl-PL"/>
        </w:rPr>
        <w:t xml:space="preserve">Nie jest to jednak poprawne porównanie poniewać pomija ono wpływ emisji na cenę akcji. </w:t>
      </w:r>
    </w:p>
    <w:p w:rsidR="00566DD8" w:rsidRPr="00E93722" w:rsidRDefault="00566DD8" w:rsidP="00E93722">
      <w:pPr>
        <w:pStyle w:val="List"/>
        <w:spacing w:after="0" w:line="240" w:lineRule="auto"/>
        <w:contextualSpacing w:val="0"/>
        <w:jc w:val="both"/>
        <w:rPr>
          <w:rFonts w:ascii="Times New Roman" w:hAnsi="Times New Roman" w:cs="Times New Roman"/>
          <w:noProof/>
          <w:lang w:eastAsia="pl-PL"/>
        </w:rPr>
      </w:pPr>
      <w:r w:rsidRPr="00E93722">
        <w:rPr>
          <w:rFonts w:ascii="Times New Roman" w:hAnsi="Times New Roman" w:cs="Times New Roman"/>
          <w:noProof/>
          <w:lang w:eastAsia="pl-PL"/>
        </w:rPr>
        <w:t xml:space="preserve">Emisja praw poboru ma neutralny wpływ na bogactwo udziałowców, ale cena praw poboru (cum rights price) jest zmieniona poprzez wzrost liczby akcji i zmianę majątku w formie gotówki na majątek w postaci papierów wartościowych (z punktu widzenia akcjonariuszy). </w:t>
      </w:r>
    </w:p>
    <w:p w:rsidR="00566DD8" w:rsidRPr="00E93722" w:rsidRDefault="00566DD8" w:rsidP="00E93722">
      <w:pPr>
        <w:pStyle w:val="List"/>
        <w:spacing w:after="0" w:line="240" w:lineRule="auto"/>
        <w:contextualSpacing w:val="0"/>
        <w:jc w:val="both"/>
        <w:rPr>
          <w:rFonts w:ascii="Times New Roman" w:hAnsi="Times New Roman" w:cs="Times New Roman"/>
          <w:noProof/>
          <w:lang w:eastAsia="pl-PL"/>
        </w:rPr>
      </w:pPr>
      <w:r w:rsidRPr="00E93722">
        <w:rPr>
          <w:rFonts w:ascii="Times New Roman" w:hAnsi="Times New Roman" w:cs="Times New Roman"/>
          <w:noProof/>
          <w:lang w:eastAsia="pl-PL"/>
        </w:rPr>
        <w:t xml:space="preserve">Właściwe porównanie powinno dotyczyć TERP. </w:t>
      </w:r>
    </w:p>
    <w:p w:rsidR="00566DD8" w:rsidRPr="00E93722" w:rsidRDefault="00566DD8" w:rsidP="00E93722">
      <w:pPr>
        <w:pStyle w:val="List"/>
        <w:spacing w:after="0" w:line="240" w:lineRule="auto"/>
        <w:contextualSpacing w:val="0"/>
        <w:jc w:val="both"/>
        <w:rPr>
          <w:rFonts w:ascii="Times New Roman" w:hAnsi="Times New Roman" w:cs="Times New Roman"/>
          <w:noProof/>
          <w:lang w:eastAsia="pl-PL"/>
        </w:rPr>
      </w:pPr>
      <w:r w:rsidRPr="00E93722">
        <w:rPr>
          <w:rFonts w:ascii="Times New Roman" w:hAnsi="Times New Roman" w:cs="Times New Roman"/>
          <w:noProof/>
          <w:lang w:eastAsia="pl-PL"/>
        </w:rPr>
        <w:t xml:space="preserve">Dartig Co odnotuje zatem wzrost kapitału w wysokości 2,60$-2,40$ = 0,2$ na akcję. Niemniej cena akcji 2,60 dotyczy ich ceny dzisiaj, a wartość 2,40 to prognozowana cena akcji za rok, a to oznacza, że pomiędzy tymi dwoma wartościami jest różnica jednego roku i nie są one bezpośrednio porównywalne ze sobą. </w:t>
      </w:r>
    </w:p>
    <w:p w:rsidR="00566DD8" w:rsidRPr="00E93722" w:rsidRDefault="00566DD8" w:rsidP="00E93722">
      <w:pPr>
        <w:pStyle w:val="List"/>
        <w:spacing w:after="0" w:line="240" w:lineRule="auto"/>
        <w:contextualSpacing w:val="0"/>
        <w:jc w:val="both"/>
        <w:rPr>
          <w:rFonts w:ascii="Times New Roman" w:hAnsi="Times New Roman" w:cs="Times New Roman"/>
          <w:noProof/>
          <w:lang w:eastAsia="pl-PL"/>
        </w:rPr>
      </w:pPr>
      <w:r w:rsidRPr="00E93722">
        <w:rPr>
          <w:rFonts w:ascii="Times New Roman" w:hAnsi="Times New Roman" w:cs="Times New Roman"/>
          <w:noProof/>
          <w:lang w:eastAsia="pl-PL"/>
        </w:rPr>
        <w:t>d)</w:t>
      </w:r>
      <w:r w:rsidRPr="00E93722">
        <w:rPr>
          <w:rFonts w:ascii="Times New Roman" w:hAnsi="Times New Roman" w:cs="Times New Roman"/>
          <w:noProof/>
          <w:lang w:eastAsia="pl-PL"/>
        </w:rPr>
        <w:tab/>
        <w:t xml:space="preserve">Głównym celem zarządzania finansowego firmy jest zazwyczaj maksymalizacja majątku udziałowców. W praktyce relację menedżerowie zachowują się jak podwładni udziałowców (udziałowcy są zwierzchnikami zarządu) i mogą wcale nie dążyć do zwiększania majątku udziałowców (tylko dbać o własne interesy). </w:t>
      </w:r>
    </w:p>
    <w:p w:rsidR="00566DD8" w:rsidRPr="00E93722" w:rsidRDefault="00566DD8" w:rsidP="00E93722">
      <w:pPr>
        <w:pStyle w:val="List"/>
        <w:spacing w:after="0" w:line="240" w:lineRule="auto"/>
        <w:contextualSpacing w:val="0"/>
        <w:jc w:val="both"/>
        <w:rPr>
          <w:rFonts w:ascii="Times New Roman" w:hAnsi="Times New Roman" w:cs="Times New Roman"/>
          <w:noProof/>
          <w:lang w:eastAsia="pl-PL"/>
        </w:rPr>
      </w:pPr>
      <w:r w:rsidRPr="00E93722">
        <w:rPr>
          <w:rFonts w:ascii="Times New Roman" w:hAnsi="Times New Roman" w:cs="Times New Roman"/>
          <w:noProof/>
          <w:lang w:eastAsia="pl-PL"/>
        </w:rPr>
        <w:t>Problem podejmowania przez kadrę menadżerską działań niesłużących maksymalizacji majątku udziałowców, nazywany jest problemem przedstawicielstwa (ang. agency problem).</w:t>
      </w:r>
    </w:p>
    <w:p w:rsidR="00566DD8" w:rsidRPr="00E93722" w:rsidRDefault="00566DD8" w:rsidP="00E93722">
      <w:pPr>
        <w:pStyle w:val="BodyText"/>
        <w:spacing w:after="0" w:line="240" w:lineRule="auto"/>
        <w:jc w:val="both"/>
        <w:rPr>
          <w:rFonts w:ascii="Times New Roman" w:hAnsi="Times New Roman" w:cs="Times New Roman"/>
          <w:noProof/>
          <w:lang w:eastAsia="pl-PL"/>
        </w:rPr>
      </w:pPr>
      <w:r w:rsidRPr="00E93722">
        <w:rPr>
          <w:rFonts w:ascii="Times New Roman" w:hAnsi="Times New Roman" w:cs="Times New Roman"/>
          <w:noProof/>
          <w:lang w:eastAsia="pl-PL"/>
        </w:rPr>
        <w:t xml:space="preserve">Majątek udziałowców zwiększa się poprzez wypłatę dywidendy oraz wzrost cen akcji. Skoro ceny akcji odzwierciedlają oczekiwania inwestorów co do strumienia dywidend jakich spodziewają się inwestorzy w przyszłości, to analiza zmian w majątku udziałowców skupia się na zmianach cen akcji. </w:t>
      </w:r>
    </w:p>
    <w:p w:rsidR="00566DD8" w:rsidRPr="00E93722" w:rsidRDefault="00566DD8" w:rsidP="00E93722">
      <w:pPr>
        <w:pStyle w:val="BodyText"/>
        <w:spacing w:after="0" w:line="240" w:lineRule="auto"/>
        <w:jc w:val="both"/>
        <w:rPr>
          <w:rFonts w:ascii="Times New Roman" w:hAnsi="Times New Roman" w:cs="Times New Roman"/>
          <w:noProof/>
          <w:lang w:eastAsia="pl-PL"/>
        </w:rPr>
      </w:pPr>
      <w:r w:rsidRPr="00E93722">
        <w:rPr>
          <w:rFonts w:ascii="Times New Roman" w:hAnsi="Times New Roman" w:cs="Times New Roman"/>
          <w:noProof/>
          <w:lang w:eastAsia="pl-PL"/>
        </w:rPr>
        <w:t>Maksymalizacja cen akcji jest często używano jako zamiennik dla celu, którym jest maksymalizacja majątku udziałowców.</w:t>
      </w:r>
    </w:p>
    <w:p w:rsidR="00566DD8" w:rsidRPr="00E93722" w:rsidRDefault="00566DD8" w:rsidP="00E93722">
      <w:pPr>
        <w:pStyle w:val="BodyText"/>
        <w:spacing w:after="0" w:line="240" w:lineRule="auto"/>
        <w:ind w:firstLine="708"/>
        <w:jc w:val="both"/>
        <w:rPr>
          <w:rFonts w:ascii="Times New Roman" w:hAnsi="Times New Roman" w:cs="Times New Roman"/>
          <w:noProof/>
          <w:lang w:eastAsia="pl-PL"/>
        </w:rPr>
      </w:pPr>
      <w:r w:rsidRPr="00E93722">
        <w:rPr>
          <w:rFonts w:ascii="Times New Roman" w:hAnsi="Times New Roman" w:cs="Times New Roman"/>
          <w:b/>
          <w:noProof/>
          <w:lang w:eastAsia="pl-PL"/>
        </w:rPr>
        <w:t>Problem agencji</w:t>
      </w:r>
      <w:r w:rsidRPr="00E93722">
        <w:rPr>
          <w:rFonts w:ascii="Times New Roman" w:hAnsi="Times New Roman" w:cs="Times New Roman"/>
          <w:noProof/>
          <w:lang w:eastAsia="pl-PL"/>
        </w:rPr>
        <w:t xml:space="preserve"> pojawia się, ponieważ cele menadżerów są inne niż udziałówców co jest wynikiem rozdzielenia własności i kontroli (zarządzania). Drugim powodem jest również swoista asymetria w dostępie do informacji pomiędzy udziałowcami i menadżerami, która powoduje, że udziałowcy nie rozumieją powodów większości decyzji podejmowanych przez menadżerów.</w:t>
      </w:r>
    </w:p>
    <w:p w:rsidR="00566DD8" w:rsidRPr="00E93722" w:rsidRDefault="00566DD8" w:rsidP="00E93722">
      <w:pPr>
        <w:pStyle w:val="BodyText"/>
        <w:spacing w:after="0" w:line="240" w:lineRule="auto"/>
        <w:ind w:firstLine="708"/>
        <w:jc w:val="both"/>
        <w:rPr>
          <w:rFonts w:ascii="Times New Roman" w:hAnsi="Times New Roman" w:cs="Times New Roman"/>
          <w:noProof/>
          <w:lang w:eastAsia="pl-PL"/>
        </w:rPr>
      </w:pPr>
      <w:r w:rsidRPr="00E93722">
        <w:rPr>
          <w:rFonts w:ascii="Times New Roman" w:hAnsi="Times New Roman" w:cs="Times New Roman"/>
          <w:noProof/>
          <w:lang w:eastAsia="pl-PL"/>
        </w:rPr>
        <w:t>Jednym ze sposobów mających zachęcić menadżerów do większenia dbania o interes udziałowców jest oferowanie im opcji na akcje. Są to prawa do zakupu akcji w przyszłości po cenie ustalonej w dniu emisji opcji. Opcje na akcje zachęcają menadżerów do podejmowania decyzji zwiększających prawdopodobieństwo wzrostu wartości akcji (tj. inwestowanie w projekty o dodatnim NPV), ponieważ to zwiększy zysk jaki zrealizują na opcjach na akcje w przyszłości. Im wyższa jest rynkowa cena akcji w przy wykonaniu opcji (opcji call) na akcję, tym większy jest zysk menadżerów posiadających akcje.</w:t>
      </w:r>
    </w:p>
    <w:p w:rsidR="00566DD8" w:rsidRPr="00E93722" w:rsidRDefault="00566DD8" w:rsidP="00E93722">
      <w:pPr>
        <w:pStyle w:val="BodyText"/>
        <w:spacing w:after="0" w:line="240" w:lineRule="auto"/>
        <w:ind w:firstLine="708"/>
        <w:jc w:val="both"/>
        <w:rPr>
          <w:rFonts w:ascii="Times New Roman" w:hAnsi="Times New Roman" w:cs="Times New Roman"/>
          <w:noProof/>
          <w:lang w:eastAsia="pl-PL"/>
        </w:rPr>
      </w:pPr>
      <w:r w:rsidRPr="00E93722">
        <w:rPr>
          <w:rFonts w:ascii="Times New Roman" w:hAnsi="Times New Roman" w:cs="Times New Roman"/>
          <w:noProof/>
          <w:lang w:eastAsia="pl-PL"/>
        </w:rPr>
        <w:t xml:space="preserve">Opcje na akcje są zatem sposobem na zmniejszenia dystansu pomiędzy celami menadżerów i udziałowców. Istnieje jednak prawdopodobieństwo, że menadżerowie zostaną wynagrodzeni za słabą pracę, jeśli ceny akcji wzrosną w wyniku dobrej koniunktury na giełdzie, a nie działań zarządu. </w:t>
      </w:r>
    </w:p>
    <w:p w:rsidR="00566DD8" w:rsidRPr="00E93722" w:rsidRDefault="00566DD8" w:rsidP="00E93722">
      <w:pPr>
        <w:pStyle w:val="BodyText"/>
        <w:spacing w:after="0" w:line="240" w:lineRule="auto"/>
        <w:ind w:firstLine="708"/>
        <w:jc w:val="both"/>
        <w:rPr>
          <w:rFonts w:ascii="Times New Roman" w:hAnsi="Times New Roman" w:cs="Times New Roman"/>
          <w:noProof/>
          <w:lang w:eastAsia="pl-PL"/>
        </w:rPr>
      </w:pPr>
      <w:r w:rsidRPr="00E93722">
        <w:rPr>
          <w:rFonts w:ascii="Times New Roman" w:hAnsi="Times New Roman" w:cs="Times New Roman"/>
          <w:noProof/>
          <w:lang w:eastAsia="pl-PL"/>
        </w:rPr>
        <w:t xml:space="preserve">Możliwe jest też, że nie zostaną wynagrodzeni za właściwe działania, ze względu na spadek wartości akcji który może wynikać z dekoniunktury giełdowej a nie złych działań zarządu. </w:t>
      </w:r>
    </w:p>
    <w:p w:rsidR="00566DD8" w:rsidRPr="00E93722" w:rsidRDefault="00566DD8" w:rsidP="00E93722">
      <w:pPr>
        <w:pStyle w:val="BodyText"/>
        <w:spacing w:after="0" w:line="240" w:lineRule="auto"/>
        <w:ind w:firstLine="708"/>
        <w:jc w:val="both"/>
        <w:rPr>
          <w:rFonts w:ascii="Times New Roman" w:hAnsi="Times New Roman" w:cs="Times New Roman"/>
          <w:noProof/>
          <w:lang w:eastAsia="pl-PL"/>
        </w:rPr>
      </w:pPr>
      <w:r w:rsidRPr="00E93722">
        <w:rPr>
          <w:rFonts w:ascii="Times New Roman" w:hAnsi="Times New Roman" w:cs="Times New Roman"/>
          <w:noProof/>
          <w:lang w:eastAsia="pl-PL"/>
        </w:rPr>
        <w:t>Ustalenie ceny i daty realizacji opcji na akcje jest problematyczne, ponieważ nie wiadomo jakie rozwiązanie zachęci menadżerów do skupienia się na działaniach mających na celu podniesienie cen akcji. Trzeba pamiętać, że cel zwiększania majątku akcjonariuszy jest trudny do realizacji i nie zawsze osiągalny (np. dekoniunktura gospodarcza).</w:t>
      </w:r>
    </w:p>
    <w:p w:rsidR="00566DD8" w:rsidRPr="00E93722" w:rsidRDefault="00566DD8" w:rsidP="00E93722">
      <w:pPr>
        <w:spacing w:after="0" w:line="240" w:lineRule="auto"/>
        <w:rPr>
          <w:rFonts w:ascii="Times New Roman" w:hAnsi="Times New Roman" w:cs="Times New Roman"/>
          <w:noProof/>
          <w:lang w:eastAsia="pl-PL"/>
        </w:rPr>
      </w:pPr>
    </w:p>
    <w:p w:rsidR="00566DD8" w:rsidRPr="00E93722" w:rsidRDefault="00E93722" w:rsidP="00E93722">
      <w:pPr>
        <w:spacing w:after="0" w:line="240" w:lineRule="auto"/>
        <w:jc w:val="both"/>
        <w:rPr>
          <w:rFonts w:ascii="Times New Roman" w:hAnsi="Times New Roman" w:cs="Times New Roman"/>
        </w:rPr>
      </w:pPr>
      <w:r w:rsidRPr="00E93722">
        <w:rPr>
          <w:rFonts w:ascii="Times New Roman" w:hAnsi="Times New Roman" w:cs="Times New Roman"/>
        </w:rPr>
        <w:t>Zad.38.</w:t>
      </w:r>
    </w:p>
    <w:p w:rsidR="00E93722" w:rsidRPr="00E93722" w:rsidRDefault="00E93722" w:rsidP="00E93722">
      <w:pPr>
        <w:spacing w:after="0" w:line="240" w:lineRule="auto"/>
        <w:jc w:val="both"/>
        <w:rPr>
          <w:rFonts w:ascii="Times New Roman" w:hAnsi="Times New Roman" w:cs="Times New Roman"/>
        </w:rPr>
      </w:pPr>
      <w:r w:rsidRPr="00E93722">
        <w:rPr>
          <w:rFonts w:ascii="Times New Roman" w:hAnsi="Times New Roman" w:cs="Times New Roman"/>
        </w:rPr>
        <w:lastRenderedPageBreak/>
        <w:t xml:space="preserve">KFP Co jest firmą, której akcje są w obiegu na jednej z głównych giełd papierów wartościowych. </w:t>
      </w:r>
      <w:r w:rsidRPr="00E93722">
        <w:rPr>
          <w:rFonts w:ascii="Times New Roman" w:hAnsi="Times New Roman" w:cs="Times New Roman"/>
        </w:rPr>
        <w:br/>
        <w:t>W związku z przygotowaniami do wystawienia oferty kupna innej spółki (</w:t>
      </w:r>
      <w:r w:rsidRPr="00E93722">
        <w:rPr>
          <w:rFonts w:ascii="Times New Roman" w:hAnsi="Times New Roman" w:cs="Times New Roman"/>
          <w:color w:val="000000" w:themeColor="text1"/>
        </w:rPr>
        <w:t xml:space="preserve">nienotowanej </w:t>
      </w:r>
      <w:r w:rsidRPr="00E93722">
        <w:rPr>
          <w:rFonts w:ascii="Times New Roman" w:hAnsi="Times New Roman" w:cs="Times New Roman"/>
        </w:rPr>
        <w:t>na giełdzie firmy NGN, głównego rywala KFP Co z tego samego sektora biznesowego), firma przygotowuje analizę kosztu kapitału wewnątrz spółki.  Poniżej znajdują się podstawowe dane finansowe dotyczące obu firm:</w:t>
      </w:r>
    </w:p>
    <w:tbl>
      <w:tblPr>
        <w:tblStyle w:val="TableGrid"/>
        <w:tblW w:w="0" w:type="auto"/>
        <w:tblLook w:val="04A0" w:firstRow="1" w:lastRow="0" w:firstColumn="1" w:lastColumn="0" w:noHBand="0" w:noVBand="1"/>
      </w:tblPr>
      <w:tblGrid>
        <w:gridCol w:w="1794"/>
        <w:gridCol w:w="1794"/>
        <w:gridCol w:w="1794"/>
        <w:gridCol w:w="1794"/>
        <w:gridCol w:w="1795"/>
      </w:tblGrid>
      <w:tr w:rsidR="00E93722" w:rsidRPr="00E93722" w:rsidTr="009F08FC">
        <w:trPr>
          <w:trHeight w:val="322"/>
        </w:trPr>
        <w:tc>
          <w:tcPr>
            <w:tcW w:w="1794" w:type="dxa"/>
          </w:tcPr>
          <w:p w:rsidR="00E93722" w:rsidRPr="00E93722" w:rsidRDefault="00E93722" w:rsidP="00E93722">
            <w:pPr>
              <w:jc w:val="both"/>
              <w:rPr>
                <w:rFonts w:ascii="Times New Roman" w:hAnsi="Times New Roman" w:cs="Times New Roman"/>
              </w:rPr>
            </w:pPr>
          </w:p>
        </w:tc>
        <w:tc>
          <w:tcPr>
            <w:tcW w:w="3588" w:type="dxa"/>
            <w:gridSpan w:val="2"/>
            <w:vAlign w:val="center"/>
          </w:tcPr>
          <w:p w:rsidR="00E93722" w:rsidRPr="00E93722" w:rsidRDefault="00E93722" w:rsidP="00E93722">
            <w:pPr>
              <w:jc w:val="center"/>
              <w:rPr>
                <w:rFonts w:ascii="Times New Roman" w:hAnsi="Times New Roman" w:cs="Times New Roman"/>
              </w:rPr>
            </w:pPr>
            <w:r w:rsidRPr="00E93722">
              <w:rPr>
                <w:rFonts w:ascii="Times New Roman" w:hAnsi="Times New Roman" w:cs="Times New Roman"/>
              </w:rPr>
              <w:t>KFP Co (mln $)</w:t>
            </w:r>
          </w:p>
        </w:tc>
        <w:tc>
          <w:tcPr>
            <w:tcW w:w="3589" w:type="dxa"/>
            <w:gridSpan w:val="2"/>
            <w:vAlign w:val="center"/>
          </w:tcPr>
          <w:p w:rsidR="00E93722" w:rsidRPr="00E93722" w:rsidRDefault="00E93722" w:rsidP="00E93722">
            <w:pPr>
              <w:jc w:val="center"/>
              <w:rPr>
                <w:rFonts w:ascii="Times New Roman" w:hAnsi="Times New Roman" w:cs="Times New Roman"/>
              </w:rPr>
            </w:pPr>
            <w:r w:rsidRPr="00E93722">
              <w:rPr>
                <w:rFonts w:ascii="Times New Roman" w:hAnsi="Times New Roman" w:cs="Times New Roman"/>
              </w:rPr>
              <w:t>NGN (mln $)</w:t>
            </w:r>
          </w:p>
        </w:tc>
      </w:tr>
      <w:tr w:rsidR="00E93722" w:rsidRPr="00E93722" w:rsidTr="009F08FC">
        <w:trPr>
          <w:trHeight w:val="340"/>
        </w:trPr>
        <w:tc>
          <w:tcPr>
            <w:tcW w:w="1794" w:type="dxa"/>
            <w:vAlign w:val="center"/>
          </w:tcPr>
          <w:p w:rsidR="00E93722" w:rsidRPr="00E93722" w:rsidRDefault="00E93722" w:rsidP="00E93722">
            <w:pPr>
              <w:jc w:val="center"/>
              <w:rPr>
                <w:rFonts w:ascii="Times New Roman" w:hAnsi="Times New Roman" w:cs="Times New Roman"/>
              </w:rPr>
            </w:pPr>
            <w:r w:rsidRPr="00E93722">
              <w:rPr>
                <w:rFonts w:ascii="Times New Roman" w:hAnsi="Times New Roman" w:cs="Times New Roman"/>
              </w:rPr>
              <w:t>Aktywa długoterminowe</w:t>
            </w:r>
          </w:p>
        </w:tc>
        <w:tc>
          <w:tcPr>
            <w:tcW w:w="1794" w:type="dxa"/>
            <w:vAlign w:val="center"/>
          </w:tcPr>
          <w:p w:rsidR="00E93722" w:rsidRPr="00E93722" w:rsidRDefault="00E93722" w:rsidP="00E93722">
            <w:pPr>
              <w:jc w:val="center"/>
              <w:rPr>
                <w:rFonts w:ascii="Times New Roman" w:hAnsi="Times New Roman" w:cs="Times New Roman"/>
              </w:rPr>
            </w:pPr>
          </w:p>
        </w:tc>
        <w:tc>
          <w:tcPr>
            <w:tcW w:w="1794" w:type="dxa"/>
            <w:vAlign w:val="center"/>
          </w:tcPr>
          <w:p w:rsidR="00E93722" w:rsidRPr="00E93722" w:rsidRDefault="00E93722" w:rsidP="00E93722">
            <w:pPr>
              <w:jc w:val="center"/>
              <w:rPr>
                <w:rFonts w:ascii="Times New Roman" w:hAnsi="Times New Roman" w:cs="Times New Roman"/>
              </w:rPr>
            </w:pPr>
            <w:r w:rsidRPr="00E93722">
              <w:rPr>
                <w:rFonts w:ascii="Times New Roman" w:hAnsi="Times New Roman" w:cs="Times New Roman"/>
              </w:rPr>
              <w:t>36</w:t>
            </w:r>
          </w:p>
        </w:tc>
        <w:tc>
          <w:tcPr>
            <w:tcW w:w="1794" w:type="dxa"/>
            <w:vAlign w:val="center"/>
          </w:tcPr>
          <w:p w:rsidR="00E93722" w:rsidRPr="00E93722" w:rsidRDefault="00E93722" w:rsidP="00E93722">
            <w:pPr>
              <w:jc w:val="center"/>
              <w:rPr>
                <w:rFonts w:ascii="Times New Roman" w:hAnsi="Times New Roman" w:cs="Times New Roman"/>
              </w:rPr>
            </w:pPr>
          </w:p>
        </w:tc>
        <w:tc>
          <w:tcPr>
            <w:tcW w:w="1795" w:type="dxa"/>
            <w:vAlign w:val="center"/>
          </w:tcPr>
          <w:p w:rsidR="00E93722" w:rsidRPr="00E93722" w:rsidRDefault="00E93722" w:rsidP="00E93722">
            <w:pPr>
              <w:jc w:val="center"/>
              <w:rPr>
                <w:rFonts w:ascii="Times New Roman" w:hAnsi="Times New Roman" w:cs="Times New Roman"/>
              </w:rPr>
            </w:pPr>
            <w:r w:rsidRPr="00E93722">
              <w:rPr>
                <w:rFonts w:ascii="Times New Roman" w:hAnsi="Times New Roman" w:cs="Times New Roman"/>
              </w:rPr>
              <w:t>25</w:t>
            </w:r>
          </w:p>
        </w:tc>
      </w:tr>
      <w:tr w:rsidR="00E93722" w:rsidRPr="00E93722" w:rsidTr="009F08FC">
        <w:trPr>
          <w:trHeight w:val="322"/>
        </w:trPr>
        <w:tc>
          <w:tcPr>
            <w:tcW w:w="1794" w:type="dxa"/>
            <w:vAlign w:val="center"/>
          </w:tcPr>
          <w:p w:rsidR="00E93722" w:rsidRPr="00E93722" w:rsidRDefault="00E93722" w:rsidP="00E93722">
            <w:pPr>
              <w:jc w:val="center"/>
              <w:rPr>
                <w:rFonts w:ascii="Times New Roman" w:hAnsi="Times New Roman" w:cs="Times New Roman"/>
              </w:rPr>
            </w:pPr>
            <w:r w:rsidRPr="00E93722">
              <w:rPr>
                <w:rFonts w:ascii="Times New Roman" w:hAnsi="Times New Roman" w:cs="Times New Roman"/>
              </w:rPr>
              <w:t>Aktywa krótkoterminowe</w:t>
            </w:r>
          </w:p>
        </w:tc>
        <w:tc>
          <w:tcPr>
            <w:tcW w:w="1794" w:type="dxa"/>
            <w:vAlign w:val="center"/>
          </w:tcPr>
          <w:p w:rsidR="00E93722" w:rsidRPr="00E93722" w:rsidRDefault="00E93722" w:rsidP="00E93722">
            <w:pPr>
              <w:jc w:val="center"/>
              <w:rPr>
                <w:rFonts w:ascii="Times New Roman" w:hAnsi="Times New Roman" w:cs="Times New Roman"/>
              </w:rPr>
            </w:pPr>
            <w:r w:rsidRPr="00E93722">
              <w:rPr>
                <w:rFonts w:ascii="Times New Roman" w:hAnsi="Times New Roman" w:cs="Times New Roman"/>
              </w:rPr>
              <w:t>7</w:t>
            </w:r>
          </w:p>
        </w:tc>
        <w:tc>
          <w:tcPr>
            <w:tcW w:w="1794" w:type="dxa"/>
            <w:vAlign w:val="center"/>
          </w:tcPr>
          <w:p w:rsidR="00E93722" w:rsidRPr="00E93722" w:rsidRDefault="00E93722" w:rsidP="00E93722">
            <w:pPr>
              <w:jc w:val="center"/>
              <w:rPr>
                <w:rFonts w:ascii="Times New Roman" w:hAnsi="Times New Roman" w:cs="Times New Roman"/>
              </w:rPr>
            </w:pPr>
          </w:p>
        </w:tc>
        <w:tc>
          <w:tcPr>
            <w:tcW w:w="1794" w:type="dxa"/>
            <w:vAlign w:val="center"/>
          </w:tcPr>
          <w:p w:rsidR="00E93722" w:rsidRPr="00E93722" w:rsidRDefault="00E93722" w:rsidP="00E93722">
            <w:pPr>
              <w:jc w:val="center"/>
              <w:rPr>
                <w:rFonts w:ascii="Times New Roman" w:hAnsi="Times New Roman" w:cs="Times New Roman"/>
              </w:rPr>
            </w:pPr>
            <w:r w:rsidRPr="00E93722">
              <w:rPr>
                <w:rFonts w:ascii="Times New Roman" w:hAnsi="Times New Roman" w:cs="Times New Roman"/>
              </w:rPr>
              <w:t>7</w:t>
            </w:r>
          </w:p>
        </w:tc>
        <w:tc>
          <w:tcPr>
            <w:tcW w:w="1795" w:type="dxa"/>
            <w:vAlign w:val="center"/>
          </w:tcPr>
          <w:p w:rsidR="00E93722" w:rsidRPr="00E93722" w:rsidRDefault="00E93722" w:rsidP="00E93722">
            <w:pPr>
              <w:jc w:val="center"/>
              <w:rPr>
                <w:rFonts w:ascii="Times New Roman" w:hAnsi="Times New Roman" w:cs="Times New Roman"/>
              </w:rPr>
            </w:pPr>
          </w:p>
        </w:tc>
      </w:tr>
      <w:tr w:rsidR="00E93722" w:rsidRPr="00E93722" w:rsidTr="009F08FC">
        <w:trPr>
          <w:trHeight w:val="340"/>
        </w:trPr>
        <w:tc>
          <w:tcPr>
            <w:tcW w:w="1794" w:type="dxa"/>
            <w:vAlign w:val="center"/>
          </w:tcPr>
          <w:p w:rsidR="00E93722" w:rsidRPr="00E93722" w:rsidRDefault="00E93722" w:rsidP="00E93722">
            <w:pPr>
              <w:jc w:val="center"/>
              <w:rPr>
                <w:rFonts w:ascii="Times New Roman" w:hAnsi="Times New Roman" w:cs="Times New Roman"/>
              </w:rPr>
            </w:pPr>
            <w:r w:rsidRPr="00E93722">
              <w:rPr>
                <w:rFonts w:ascii="Times New Roman" w:hAnsi="Times New Roman" w:cs="Times New Roman"/>
              </w:rPr>
              <w:t>Zobowiązania krótkoterminowe</w:t>
            </w:r>
          </w:p>
        </w:tc>
        <w:tc>
          <w:tcPr>
            <w:tcW w:w="1794" w:type="dxa"/>
            <w:vAlign w:val="center"/>
          </w:tcPr>
          <w:p w:rsidR="00E93722" w:rsidRPr="00E93722" w:rsidRDefault="00E93722" w:rsidP="00E93722">
            <w:pPr>
              <w:jc w:val="center"/>
              <w:rPr>
                <w:rFonts w:ascii="Times New Roman" w:hAnsi="Times New Roman" w:cs="Times New Roman"/>
              </w:rPr>
            </w:pPr>
            <w:r w:rsidRPr="00E93722">
              <w:rPr>
                <w:rFonts w:ascii="Times New Roman" w:hAnsi="Times New Roman" w:cs="Times New Roman"/>
              </w:rPr>
              <w:t>3</w:t>
            </w:r>
          </w:p>
        </w:tc>
        <w:tc>
          <w:tcPr>
            <w:tcW w:w="1794" w:type="dxa"/>
            <w:vAlign w:val="center"/>
          </w:tcPr>
          <w:p w:rsidR="00E93722" w:rsidRPr="00E93722" w:rsidRDefault="00E93722" w:rsidP="00E93722">
            <w:pPr>
              <w:jc w:val="center"/>
              <w:rPr>
                <w:rFonts w:ascii="Times New Roman" w:hAnsi="Times New Roman" w:cs="Times New Roman"/>
              </w:rPr>
            </w:pPr>
          </w:p>
        </w:tc>
        <w:tc>
          <w:tcPr>
            <w:tcW w:w="1794" w:type="dxa"/>
            <w:vAlign w:val="center"/>
          </w:tcPr>
          <w:p w:rsidR="00E93722" w:rsidRPr="00E93722" w:rsidRDefault="00E93722" w:rsidP="00E93722">
            <w:pPr>
              <w:jc w:val="center"/>
              <w:rPr>
                <w:rFonts w:ascii="Times New Roman" w:hAnsi="Times New Roman" w:cs="Times New Roman"/>
              </w:rPr>
            </w:pPr>
            <w:r w:rsidRPr="00E93722">
              <w:rPr>
                <w:rFonts w:ascii="Times New Roman" w:hAnsi="Times New Roman" w:cs="Times New Roman"/>
              </w:rPr>
              <w:t>4</w:t>
            </w:r>
          </w:p>
        </w:tc>
        <w:tc>
          <w:tcPr>
            <w:tcW w:w="1795" w:type="dxa"/>
            <w:vAlign w:val="center"/>
          </w:tcPr>
          <w:p w:rsidR="00E93722" w:rsidRPr="00E93722" w:rsidRDefault="00E93722" w:rsidP="00E93722">
            <w:pPr>
              <w:jc w:val="center"/>
              <w:rPr>
                <w:rFonts w:ascii="Times New Roman" w:hAnsi="Times New Roman" w:cs="Times New Roman"/>
              </w:rPr>
            </w:pPr>
          </w:p>
        </w:tc>
      </w:tr>
      <w:tr w:rsidR="00E93722" w:rsidRPr="00E93722" w:rsidTr="009F08FC">
        <w:trPr>
          <w:trHeight w:val="322"/>
        </w:trPr>
        <w:tc>
          <w:tcPr>
            <w:tcW w:w="1794" w:type="dxa"/>
            <w:vAlign w:val="center"/>
          </w:tcPr>
          <w:p w:rsidR="00E93722" w:rsidRPr="00E93722" w:rsidRDefault="00E93722" w:rsidP="00E93722">
            <w:pPr>
              <w:jc w:val="center"/>
              <w:rPr>
                <w:rFonts w:ascii="Times New Roman" w:hAnsi="Times New Roman" w:cs="Times New Roman"/>
              </w:rPr>
            </w:pPr>
            <w:r w:rsidRPr="00E93722">
              <w:rPr>
                <w:rFonts w:ascii="Times New Roman" w:hAnsi="Times New Roman" w:cs="Times New Roman"/>
              </w:rPr>
              <w:t>Aktywa obrotowe netto</w:t>
            </w:r>
          </w:p>
        </w:tc>
        <w:tc>
          <w:tcPr>
            <w:tcW w:w="1794" w:type="dxa"/>
            <w:vAlign w:val="center"/>
          </w:tcPr>
          <w:p w:rsidR="00E93722" w:rsidRPr="00E93722" w:rsidRDefault="00E93722" w:rsidP="00E93722">
            <w:pPr>
              <w:jc w:val="center"/>
              <w:rPr>
                <w:rFonts w:ascii="Times New Roman" w:hAnsi="Times New Roman" w:cs="Times New Roman"/>
              </w:rPr>
            </w:pPr>
          </w:p>
        </w:tc>
        <w:tc>
          <w:tcPr>
            <w:tcW w:w="1794" w:type="dxa"/>
            <w:vAlign w:val="center"/>
          </w:tcPr>
          <w:p w:rsidR="00E93722" w:rsidRPr="00E93722" w:rsidRDefault="00E93722" w:rsidP="00E93722">
            <w:pPr>
              <w:jc w:val="center"/>
              <w:rPr>
                <w:rFonts w:ascii="Times New Roman" w:hAnsi="Times New Roman" w:cs="Times New Roman"/>
              </w:rPr>
            </w:pPr>
            <w:r w:rsidRPr="00E93722">
              <w:rPr>
                <w:rFonts w:ascii="Times New Roman" w:hAnsi="Times New Roman" w:cs="Times New Roman"/>
              </w:rPr>
              <w:t>4</w:t>
            </w:r>
          </w:p>
        </w:tc>
        <w:tc>
          <w:tcPr>
            <w:tcW w:w="1794" w:type="dxa"/>
            <w:vAlign w:val="center"/>
          </w:tcPr>
          <w:p w:rsidR="00E93722" w:rsidRPr="00E93722" w:rsidRDefault="00E93722" w:rsidP="00E93722">
            <w:pPr>
              <w:jc w:val="center"/>
              <w:rPr>
                <w:rFonts w:ascii="Times New Roman" w:hAnsi="Times New Roman" w:cs="Times New Roman"/>
              </w:rPr>
            </w:pPr>
          </w:p>
        </w:tc>
        <w:tc>
          <w:tcPr>
            <w:tcW w:w="1795" w:type="dxa"/>
            <w:vAlign w:val="center"/>
          </w:tcPr>
          <w:p w:rsidR="00E93722" w:rsidRPr="00E93722" w:rsidRDefault="00E93722" w:rsidP="00E93722">
            <w:pPr>
              <w:jc w:val="center"/>
              <w:rPr>
                <w:rFonts w:ascii="Times New Roman" w:hAnsi="Times New Roman" w:cs="Times New Roman"/>
              </w:rPr>
            </w:pPr>
            <w:r w:rsidRPr="00E93722">
              <w:rPr>
                <w:rFonts w:ascii="Times New Roman" w:hAnsi="Times New Roman" w:cs="Times New Roman"/>
              </w:rPr>
              <w:t>3</w:t>
            </w:r>
          </w:p>
        </w:tc>
      </w:tr>
      <w:tr w:rsidR="00E93722" w:rsidRPr="00E93722" w:rsidTr="009F08FC">
        <w:trPr>
          <w:trHeight w:val="359"/>
        </w:trPr>
        <w:tc>
          <w:tcPr>
            <w:tcW w:w="1794" w:type="dxa"/>
            <w:vAlign w:val="center"/>
          </w:tcPr>
          <w:p w:rsidR="00E93722" w:rsidRPr="00E93722" w:rsidRDefault="00E93722" w:rsidP="00E93722">
            <w:pPr>
              <w:jc w:val="center"/>
              <w:rPr>
                <w:rFonts w:ascii="Times New Roman" w:hAnsi="Times New Roman" w:cs="Times New Roman"/>
              </w:rPr>
            </w:pPr>
            <w:r w:rsidRPr="00E93722">
              <w:rPr>
                <w:rFonts w:ascii="Times New Roman" w:hAnsi="Times New Roman" w:cs="Times New Roman"/>
              </w:rPr>
              <w:t>Aktywa łącznie minus zobowiązania krótkoterminowe</w:t>
            </w:r>
          </w:p>
        </w:tc>
        <w:tc>
          <w:tcPr>
            <w:tcW w:w="1794" w:type="dxa"/>
            <w:vAlign w:val="center"/>
          </w:tcPr>
          <w:p w:rsidR="00E93722" w:rsidRPr="00E93722" w:rsidRDefault="00E93722" w:rsidP="00E93722">
            <w:pPr>
              <w:jc w:val="center"/>
              <w:rPr>
                <w:rFonts w:ascii="Times New Roman" w:hAnsi="Times New Roman" w:cs="Times New Roman"/>
              </w:rPr>
            </w:pPr>
          </w:p>
        </w:tc>
        <w:tc>
          <w:tcPr>
            <w:tcW w:w="1794" w:type="dxa"/>
            <w:vAlign w:val="center"/>
          </w:tcPr>
          <w:p w:rsidR="00E93722" w:rsidRPr="00E93722" w:rsidRDefault="00E93722" w:rsidP="00E93722">
            <w:pPr>
              <w:jc w:val="center"/>
              <w:rPr>
                <w:rFonts w:ascii="Times New Roman" w:hAnsi="Times New Roman" w:cs="Times New Roman"/>
              </w:rPr>
            </w:pPr>
            <w:r w:rsidRPr="00E93722">
              <w:rPr>
                <w:rFonts w:ascii="Times New Roman" w:hAnsi="Times New Roman" w:cs="Times New Roman"/>
              </w:rPr>
              <w:t>40</w:t>
            </w:r>
          </w:p>
        </w:tc>
        <w:tc>
          <w:tcPr>
            <w:tcW w:w="1794" w:type="dxa"/>
            <w:vAlign w:val="center"/>
          </w:tcPr>
          <w:p w:rsidR="00E93722" w:rsidRPr="00E93722" w:rsidRDefault="00E93722" w:rsidP="00E93722">
            <w:pPr>
              <w:jc w:val="center"/>
              <w:rPr>
                <w:rFonts w:ascii="Times New Roman" w:hAnsi="Times New Roman" w:cs="Times New Roman"/>
              </w:rPr>
            </w:pPr>
          </w:p>
        </w:tc>
        <w:tc>
          <w:tcPr>
            <w:tcW w:w="1795" w:type="dxa"/>
            <w:vAlign w:val="center"/>
          </w:tcPr>
          <w:p w:rsidR="00E93722" w:rsidRPr="00E93722" w:rsidRDefault="00E93722" w:rsidP="00E93722">
            <w:pPr>
              <w:jc w:val="center"/>
              <w:rPr>
                <w:rFonts w:ascii="Times New Roman" w:hAnsi="Times New Roman" w:cs="Times New Roman"/>
              </w:rPr>
            </w:pPr>
            <w:r w:rsidRPr="00E93722">
              <w:rPr>
                <w:rFonts w:ascii="Times New Roman" w:hAnsi="Times New Roman" w:cs="Times New Roman"/>
              </w:rPr>
              <w:t>28</w:t>
            </w:r>
          </w:p>
        </w:tc>
      </w:tr>
    </w:tbl>
    <w:p w:rsidR="00E93722" w:rsidRPr="00E93722" w:rsidRDefault="00E93722" w:rsidP="00E93722">
      <w:pPr>
        <w:spacing w:after="0" w:line="240" w:lineRule="auto"/>
        <w:jc w:val="both"/>
        <w:rPr>
          <w:rFonts w:ascii="Times New Roman" w:hAnsi="Times New Roman" w:cs="Times New Roman"/>
        </w:rPr>
      </w:pPr>
    </w:p>
    <w:tbl>
      <w:tblPr>
        <w:tblStyle w:val="TableGrid"/>
        <w:tblW w:w="0" w:type="auto"/>
        <w:tblLook w:val="04A0" w:firstRow="1" w:lastRow="0" w:firstColumn="1" w:lastColumn="0" w:noHBand="0" w:noVBand="1"/>
      </w:tblPr>
      <w:tblGrid>
        <w:gridCol w:w="1785"/>
        <w:gridCol w:w="1785"/>
        <w:gridCol w:w="1785"/>
        <w:gridCol w:w="1785"/>
        <w:gridCol w:w="1786"/>
      </w:tblGrid>
      <w:tr w:rsidR="00E93722" w:rsidRPr="00E93722" w:rsidTr="009F08FC">
        <w:tc>
          <w:tcPr>
            <w:tcW w:w="1785" w:type="dxa"/>
          </w:tcPr>
          <w:p w:rsidR="00E93722" w:rsidRPr="00E93722" w:rsidRDefault="00E93722" w:rsidP="00E93722">
            <w:pPr>
              <w:jc w:val="both"/>
              <w:rPr>
                <w:rFonts w:ascii="Times New Roman" w:hAnsi="Times New Roman" w:cs="Times New Roman"/>
              </w:rPr>
            </w:pPr>
          </w:p>
        </w:tc>
        <w:tc>
          <w:tcPr>
            <w:tcW w:w="3570" w:type="dxa"/>
            <w:gridSpan w:val="2"/>
            <w:vAlign w:val="center"/>
          </w:tcPr>
          <w:p w:rsidR="00E93722" w:rsidRPr="00E93722" w:rsidRDefault="00E93722" w:rsidP="00E93722">
            <w:pPr>
              <w:jc w:val="center"/>
              <w:rPr>
                <w:rFonts w:ascii="Times New Roman" w:hAnsi="Times New Roman" w:cs="Times New Roman"/>
              </w:rPr>
            </w:pPr>
            <w:r w:rsidRPr="00E93722">
              <w:rPr>
                <w:rFonts w:ascii="Times New Roman" w:hAnsi="Times New Roman" w:cs="Times New Roman"/>
              </w:rPr>
              <w:t>KFP Co (mln $)</w:t>
            </w:r>
          </w:p>
        </w:tc>
        <w:tc>
          <w:tcPr>
            <w:tcW w:w="3571" w:type="dxa"/>
            <w:gridSpan w:val="2"/>
            <w:vAlign w:val="center"/>
          </w:tcPr>
          <w:p w:rsidR="00E93722" w:rsidRPr="00E93722" w:rsidRDefault="00E93722" w:rsidP="00E93722">
            <w:pPr>
              <w:jc w:val="center"/>
              <w:rPr>
                <w:rFonts w:ascii="Times New Roman" w:hAnsi="Times New Roman" w:cs="Times New Roman"/>
              </w:rPr>
            </w:pPr>
            <w:r w:rsidRPr="00E93722">
              <w:rPr>
                <w:rFonts w:ascii="Times New Roman" w:hAnsi="Times New Roman" w:cs="Times New Roman"/>
              </w:rPr>
              <w:t>NGN (mln $)</w:t>
            </w:r>
          </w:p>
        </w:tc>
      </w:tr>
      <w:tr w:rsidR="00E93722" w:rsidRPr="00E93722" w:rsidTr="009F08FC">
        <w:tc>
          <w:tcPr>
            <w:tcW w:w="1785" w:type="dxa"/>
            <w:vAlign w:val="center"/>
          </w:tcPr>
          <w:p w:rsidR="00E93722" w:rsidRPr="00E93722" w:rsidRDefault="00E93722" w:rsidP="00E93722">
            <w:pPr>
              <w:jc w:val="center"/>
              <w:rPr>
                <w:rFonts w:ascii="Times New Roman" w:hAnsi="Times New Roman" w:cs="Times New Roman"/>
              </w:rPr>
            </w:pPr>
            <w:r w:rsidRPr="00E93722">
              <w:rPr>
                <w:rFonts w:ascii="Times New Roman" w:hAnsi="Times New Roman" w:cs="Times New Roman"/>
              </w:rPr>
              <w:t>Akcje zwykłe o wart. nominalnej 50c/akcję</w:t>
            </w:r>
          </w:p>
        </w:tc>
        <w:tc>
          <w:tcPr>
            <w:tcW w:w="1785" w:type="dxa"/>
            <w:vAlign w:val="center"/>
          </w:tcPr>
          <w:p w:rsidR="00E93722" w:rsidRPr="00E93722" w:rsidRDefault="00E93722" w:rsidP="00E93722">
            <w:pPr>
              <w:jc w:val="center"/>
              <w:rPr>
                <w:rFonts w:ascii="Times New Roman" w:hAnsi="Times New Roman" w:cs="Times New Roman"/>
              </w:rPr>
            </w:pPr>
            <w:r w:rsidRPr="00E93722">
              <w:rPr>
                <w:rFonts w:ascii="Times New Roman" w:hAnsi="Times New Roman" w:cs="Times New Roman"/>
              </w:rPr>
              <w:t>15</w:t>
            </w:r>
          </w:p>
        </w:tc>
        <w:tc>
          <w:tcPr>
            <w:tcW w:w="1785" w:type="dxa"/>
            <w:vAlign w:val="center"/>
          </w:tcPr>
          <w:p w:rsidR="00E93722" w:rsidRPr="00E93722" w:rsidRDefault="00E93722" w:rsidP="00E93722">
            <w:pPr>
              <w:jc w:val="center"/>
              <w:rPr>
                <w:rFonts w:ascii="Times New Roman" w:hAnsi="Times New Roman" w:cs="Times New Roman"/>
              </w:rPr>
            </w:pPr>
          </w:p>
        </w:tc>
        <w:tc>
          <w:tcPr>
            <w:tcW w:w="1785" w:type="dxa"/>
            <w:vAlign w:val="center"/>
          </w:tcPr>
          <w:p w:rsidR="00E93722" w:rsidRPr="00E93722" w:rsidRDefault="00E93722" w:rsidP="00E93722">
            <w:pPr>
              <w:jc w:val="center"/>
              <w:rPr>
                <w:rFonts w:ascii="Times New Roman" w:hAnsi="Times New Roman" w:cs="Times New Roman"/>
              </w:rPr>
            </w:pPr>
            <w:r w:rsidRPr="00E93722">
              <w:rPr>
                <w:rFonts w:ascii="Times New Roman" w:hAnsi="Times New Roman" w:cs="Times New Roman"/>
              </w:rPr>
              <w:t>5</w:t>
            </w:r>
          </w:p>
        </w:tc>
        <w:tc>
          <w:tcPr>
            <w:tcW w:w="1786" w:type="dxa"/>
            <w:vAlign w:val="center"/>
          </w:tcPr>
          <w:p w:rsidR="00E93722" w:rsidRPr="00E93722" w:rsidRDefault="00E93722" w:rsidP="00E93722">
            <w:pPr>
              <w:jc w:val="center"/>
              <w:rPr>
                <w:rFonts w:ascii="Times New Roman" w:hAnsi="Times New Roman" w:cs="Times New Roman"/>
              </w:rPr>
            </w:pPr>
          </w:p>
        </w:tc>
      </w:tr>
      <w:tr w:rsidR="00E93722" w:rsidRPr="00E93722" w:rsidTr="009F08FC">
        <w:tc>
          <w:tcPr>
            <w:tcW w:w="1785" w:type="dxa"/>
            <w:vAlign w:val="center"/>
          </w:tcPr>
          <w:p w:rsidR="00E93722" w:rsidRPr="00E93722" w:rsidRDefault="00E93722" w:rsidP="00E93722">
            <w:pPr>
              <w:jc w:val="center"/>
              <w:rPr>
                <w:rFonts w:ascii="Times New Roman" w:hAnsi="Times New Roman" w:cs="Times New Roman"/>
              </w:rPr>
            </w:pPr>
            <w:r w:rsidRPr="00E93722">
              <w:rPr>
                <w:rFonts w:ascii="Times New Roman" w:hAnsi="Times New Roman" w:cs="Times New Roman"/>
              </w:rPr>
              <w:t>Zyski zatrzymane</w:t>
            </w:r>
          </w:p>
        </w:tc>
        <w:tc>
          <w:tcPr>
            <w:tcW w:w="1785" w:type="dxa"/>
            <w:vAlign w:val="center"/>
          </w:tcPr>
          <w:p w:rsidR="00E93722" w:rsidRPr="00E93722" w:rsidRDefault="00E93722" w:rsidP="00E93722">
            <w:pPr>
              <w:jc w:val="center"/>
              <w:rPr>
                <w:rFonts w:ascii="Times New Roman" w:hAnsi="Times New Roman" w:cs="Times New Roman"/>
              </w:rPr>
            </w:pPr>
            <w:r w:rsidRPr="00E93722">
              <w:rPr>
                <w:rFonts w:ascii="Times New Roman" w:hAnsi="Times New Roman" w:cs="Times New Roman"/>
              </w:rPr>
              <w:t>10</w:t>
            </w:r>
          </w:p>
        </w:tc>
        <w:tc>
          <w:tcPr>
            <w:tcW w:w="1785" w:type="dxa"/>
            <w:vAlign w:val="center"/>
          </w:tcPr>
          <w:p w:rsidR="00E93722" w:rsidRPr="00E93722" w:rsidRDefault="00E93722" w:rsidP="00E93722">
            <w:pPr>
              <w:jc w:val="center"/>
              <w:rPr>
                <w:rFonts w:ascii="Times New Roman" w:hAnsi="Times New Roman" w:cs="Times New Roman"/>
              </w:rPr>
            </w:pPr>
          </w:p>
        </w:tc>
        <w:tc>
          <w:tcPr>
            <w:tcW w:w="1785" w:type="dxa"/>
            <w:vAlign w:val="center"/>
          </w:tcPr>
          <w:p w:rsidR="00E93722" w:rsidRPr="00E93722" w:rsidRDefault="00E93722" w:rsidP="00E93722">
            <w:pPr>
              <w:jc w:val="center"/>
              <w:rPr>
                <w:rFonts w:ascii="Times New Roman" w:hAnsi="Times New Roman" w:cs="Times New Roman"/>
              </w:rPr>
            </w:pPr>
            <w:r w:rsidRPr="00E93722">
              <w:rPr>
                <w:rFonts w:ascii="Times New Roman" w:hAnsi="Times New Roman" w:cs="Times New Roman"/>
              </w:rPr>
              <w:t>3</w:t>
            </w:r>
          </w:p>
        </w:tc>
        <w:tc>
          <w:tcPr>
            <w:tcW w:w="1786" w:type="dxa"/>
            <w:vAlign w:val="center"/>
          </w:tcPr>
          <w:p w:rsidR="00E93722" w:rsidRPr="00E93722" w:rsidRDefault="00E93722" w:rsidP="00E93722">
            <w:pPr>
              <w:jc w:val="center"/>
              <w:rPr>
                <w:rFonts w:ascii="Times New Roman" w:hAnsi="Times New Roman" w:cs="Times New Roman"/>
              </w:rPr>
            </w:pPr>
          </w:p>
        </w:tc>
      </w:tr>
      <w:tr w:rsidR="00E93722" w:rsidRPr="00E93722" w:rsidTr="009F08FC">
        <w:tc>
          <w:tcPr>
            <w:tcW w:w="1785" w:type="dxa"/>
            <w:vAlign w:val="center"/>
          </w:tcPr>
          <w:p w:rsidR="00E93722" w:rsidRPr="00E93722" w:rsidRDefault="00E93722" w:rsidP="00E93722">
            <w:pPr>
              <w:jc w:val="center"/>
              <w:rPr>
                <w:rFonts w:ascii="Times New Roman" w:hAnsi="Times New Roman" w:cs="Times New Roman"/>
              </w:rPr>
            </w:pPr>
            <w:r w:rsidRPr="00E93722">
              <w:rPr>
                <w:rFonts w:ascii="Times New Roman" w:hAnsi="Times New Roman" w:cs="Times New Roman"/>
              </w:rPr>
              <w:t>Kapitał razem</w:t>
            </w:r>
          </w:p>
        </w:tc>
        <w:tc>
          <w:tcPr>
            <w:tcW w:w="1785" w:type="dxa"/>
            <w:vAlign w:val="center"/>
          </w:tcPr>
          <w:p w:rsidR="00E93722" w:rsidRPr="00E93722" w:rsidRDefault="00E93722" w:rsidP="00E93722">
            <w:pPr>
              <w:jc w:val="center"/>
              <w:rPr>
                <w:rFonts w:ascii="Times New Roman" w:hAnsi="Times New Roman" w:cs="Times New Roman"/>
              </w:rPr>
            </w:pPr>
          </w:p>
        </w:tc>
        <w:tc>
          <w:tcPr>
            <w:tcW w:w="1785" w:type="dxa"/>
            <w:vAlign w:val="center"/>
          </w:tcPr>
          <w:p w:rsidR="00E93722" w:rsidRPr="00E93722" w:rsidRDefault="00E93722" w:rsidP="00E93722">
            <w:pPr>
              <w:jc w:val="center"/>
              <w:rPr>
                <w:rFonts w:ascii="Times New Roman" w:hAnsi="Times New Roman" w:cs="Times New Roman"/>
              </w:rPr>
            </w:pPr>
            <w:r w:rsidRPr="00E93722">
              <w:rPr>
                <w:rFonts w:ascii="Times New Roman" w:hAnsi="Times New Roman" w:cs="Times New Roman"/>
              </w:rPr>
              <w:t>25</w:t>
            </w:r>
          </w:p>
        </w:tc>
        <w:tc>
          <w:tcPr>
            <w:tcW w:w="1785" w:type="dxa"/>
            <w:vAlign w:val="center"/>
          </w:tcPr>
          <w:p w:rsidR="00E93722" w:rsidRPr="00E93722" w:rsidRDefault="00E93722" w:rsidP="00E93722">
            <w:pPr>
              <w:jc w:val="center"/>
              <w:rPr>
                <w:rFonts w:ascii="Times New Roman" w:hAnsi="Times New Roman" w:cs="Times New Roman"/>
              </w:rPr>
            </w:pPr>
          </w:p>
        </w:tc>
        <w:tc>
          <w:tcPr>
            <w:tcW w:w="1786" w:type="dxa"/>
            <w:vAlign w:val="center"/>
          </w:tcPr>
          <w:p w:rsidR="00E93722" w:rsidRPr="00E93722" w:rsidRDefault="00E93722" w:rsidP="00E93722">
            <w:pPr>
              <w:jc w:val="center"/>
              <w:rPr>
                <w:rFonts w:ascii="Times New Roman" w:hAnsi="Times New Roman" w:cs="Times New Roman"/>
              </w:rPr>
            </w:pPr>
            <w:r w:rsidRPr="00E93722">
              <w:rPr>
                <w:rFonts w:ascii="Times New Roman" w:hAnsi="Times New Roman" w:cs="Times New Roman"/>
              </w:rPr>
              <w:t>8</w:t>
            </w:r>
          </w:p>
        </w:tc>
      </w:tr>
      <w:tr w:rsidR="00E93722" w:rsidRPr="00E93722" w:rsidTr="009F08FC">
        <w:tc>
          <w:tcPr>
            <w:tcW w:w="1785" w:type="dxa"/>
            <w:vAlign w:val="center"/>
          </w:tcPr>
          <w:p w:rsidR="00E93722" w:rsidRPr="00E93722" w:rsidRDefault="00E93722" w:rsidP="00E93722">
            <w:pPr>
              <w:jc w:val="center"/>
              <w:rPr>
                <w:rFonts w:ascii="Times New Roman" w:hAnsi="Times New Roman" w:cs="Times New Roman"/>
              </w:rPr>
            </w:pPr>
            <w:r w:rsidRPr="00E93722">
              <w:rPr>
                <w:rFonts w:ascii="Times New Roman" w:hAnsi="Times New Roman" w:cs="Times New Roman"/>
              </w:rPr>
              <w:t>7% obligacje z dwuletnim terminem do wykupu</w:t>
            </w:r>
          </w:p>
        </w:tc>
        <w:tc>
          <w:tcPr>
            <w:tcW w:w="1785" w:type="dxa"/>
            <w:vAlign w:val="center"/>
          </w:tcPr>
          <w:p w:rsidR="00E93722" w:rsidRPr="00E93722" w:rsidRDefault="00E93722" w:rsidP="00E93722">
            <w:pPr>
              <w:jc w:val="center"/>
              <w:rPr>
                <w:rFonts w:ascii="Times New Roman" w:hAnsi="Times New Roman" w:cs="Times New Roman"/>
              </w:rPr>
            </w:pPr>
          </w:p>
        </w:tc>
        <w:tc>
          <w:tcPr>
            <w:tcW w:w="1785" w:type="dxa"/>
            <w:vAlign w:val="center"/>
          </w:tcPr>
          <w:p w:rsidR="00E93722" w:rsidRPr="00E93722" w:rsidRDefault="00E93722" w:rsidP="00E93722">
            <w:pPr>
              <w:jc w:val="center"/>
              <w:rPr>
                <w:rFonts w:ascii="Times New Roman" w:hAnsi="Times New Roman" w:cs="Times New Roman"/>
              </w:rPr>
            </w:pPr>
            <w:r w:rsidRPr="00E93722">
              <w:rPr>
                <w:rFonts w:ascii="Times New Roman" w:hAnsi="Times New Roman" w:cs="Times New Roman"/>
              </w:rPr>
              <w:t>15</w:t>
            </w:r>
          </w:p>
        </w:tc>
        <w:tc>
          <w:tcPr>
            <w:tcW w:w="1785" w:type="dxa"/>
            <w:vAlign w:val="center"/>
          </w:tcPr>
          <w:p w:rsidR="00E93722" w:rsidRPr="00E93722" w:rsidRDefault="00E93722" w:rsidP="00E93722">
            <w:pPr>
              <w:jc w:val="center"/>
              <w:rPr>
                <w:rFonts w:ascii="Times New Roman" w:hAnsi="Times New Roman" w:cs="Times New Roman"/>
              </w:rPr>
            </w:pPr>
          </w:p>
        </w:tc>
        <w:tc>
          <w:tcPr>
            <w:tcW w:w="1786" w:type="dxa"/>
            <w:vAlign w:val="center"/>
          </w:tcPr>
          <w:p w:rsidR="00E93722" w:rsidRPr="00E93722" w:rsidRDefault="00E93722" w:rsidP="00E93722">
            <w:pPr>
              <w:jc w:val="center"/>
              <w:rPr>
                <w:rFonts w:ascii="Times New Roman" w:hAnsi="Times New Roman" w:cs="Times New Roman"/>
              </w:rPr>
            </w:pPr>
          </w:p>
        </w:tc>
      </w:tr>
      <w:tr w:rsidR="00E93722" w:rsidRPr="00E93722" w:rsidTr="009F08FC">
        <w:tc>
          <w:tcPr>
            <w:tcW w:w="1785" w:type="dxa"/>
            <w:vAlign w:val="center"/>
          </w:tcPr>
          <w:p w:rsidR="00E93722" w:rsidRPr="00E93722" w:rsidRDefault="00E93722" w:rsidP="00E93722">
            <w:pPr>
              <w:jc w:val="center"/>
              <w:rPr>
                <w:rFonts w:ascii="Times New Roman" w:hAnsi="Times New Roman" w:cs="Times New Roman"/>
              </w:rPr>
            </w:pPr>
            <w:r w:rsidRPr="00E93722">
              <w:rPr>
                <w:rFonts w:ascii="Times New Roman" w:hAnsi="Times New Roman" w:cs="Times New Roman"/>
              </w:rPr>
              <w:t>9% obligacje z dwuletnim terminem do wykupu</w:t>
            </w:r>
          </w:p>
        </w:tc>
        <w:tc>
          <w:tcPr>
            <w:tcW w:w="1785" w:type="dxa"/>
            <w:vAlign w:val="center"/>
          </w:tcPr>
          <w:p w:rsidR="00E93722" w:rsidRPr="00E93722" w:rsidRDefault="00E93722" w:rsidP="00E93722">
            <w:pPr>
              <w:jc w:val="center"/>
              <w:rPr>
                <w:rFonts w:ascii="Times New Roman" w:hAnsi="Times New Roman" w:cs="Times New Roman"/>
              </w:rPr>
            </w:pPr>
          </w:p>
        </w:tc>
        <w:tc>
          <w:tcPr>
            <w:tcW w:w="1785" w:type="dxa"/>
            <w:vAlign w:val="center"/>
          </w:tcPr>
          <w:p w:rsidR="00E93722" w:rsidRPr="00E93722" w:rsidRDefault="00E93722" w:rsidP="00E93722">
            <w:pPr>
              <w:jc w:val="center"/>
              <w:rPr>
                <w:rFonts w:ascii="Times New Roman" w:hAnsi="Times New Roman" w:cs="Times New Roman"/>
              </w:rPr>
            </w:pPr>
          </w:p>
        </w:tc>
        <w:tc>
          <w:tcPr>
            <w:tcW w:w="1785" w:type="dxa"/>
            <w:vAlign w:val="center"/>
          </w:tcPr>
          <w:p w:rsidR="00E93722" w:rsidRPr="00E93722" w:rsidRDefault="00E93722" w:rsidP="00E93722">
            <w:pPr>
              <w:jc w:val="center"/>
              <w:rPr>
                <w:rFonts w:ascii="Times New Roman" w:hAnsi="Times New Roman" w:cs="Times New Roman"/>
              </w:rPr>
            </w:pPr>
          </w:p>
        </w:tc>
        <w:tc>
          <w:tcPr>
            <w:tcW w:w="1786" w:type="dxa"/>
            <w:vAlign w:val="center"/>
          </w:tcPr>
          <w:p w:rsidR="00E93722" w:rsidRPr="00E93722" w:rsidRDefault="00E93722" w:rsidP="00E93722">
            <w:pPr>
              <w:jc w:val="center"/>
              <w:rPr>
                <w:rFonts w:ascii="Times New Roman" w:hAnsi="Times New Roman" w:cs="Times New Roman"/>
              </w:rPr>
            </w:pPr>
            <w:r w:rsidRPr="00E93722">
              <w:rPr>
                <w:rFonts w:ascii="Times New Roman" w:hAnsi="Times New Roman" w:cs="Times New Roman"/>
              </w:rPr>
              <w:t>20</w:t>
            </w:r>
          </w:p>
        </w:tc>
      </w:tr>
      <w:tr w:rsidR="00E93722" w:rsidRPr="00E93722" w:rsidTr="009F08FC">
        <w:tc>
          <w:tcPr>
            <w:tcW w:w="1785" w:type="dxa"/>
            <w:vAlign w:val="center"/>
          </w:tcPr>
          <w:p w:rsidR="00E93722" w:rsidRPr="00E93722" w:rsidRDefault="00E93722" w:rsidP="00E93722">
            <w:pPr>
              <w:jc w:val="center"/>
              <w:rPr>
                <w:rFonts w:ascii="Times New Roman" w:hAnsi="Times New Roman" w:cs="Times New Roman"/>
              </w:rPr>
            </w:pPr>
            <w:r w:rsidRPr="00E93722">
              <w:rPr>
                <w:rFonts w:ascii="Times New Roman" w:hAnsi="Times New Roman" w:cs="Times New Roman"/>
              </w:rPr>
              <w:t>Kapitał łączny i zobowiązania krótkoterminowe</w:t>
            </w:r>
          </w:p>
        </w:tc>
        <w:tc>
          <w:tcPr>
            <w:tcW w:w="1785" w:type="dxa"/>
            <w:vAlign w:val="center"/>
          </w:tcPr>
          <w:p w:rsidR="00E93722" w:rsidRPr="00E93722" w:rsidRDefault="00E93722" w:rsidP="00E93722">
            <w:pPr>
              <w:jc w:val="center"/>
              <w:rPr>
                <w:rFonts w:ascii="Times New Roman" w:hAnsi="Times New Roman" w:cs="Times New Roman"/>
              </w:rPr>
            </w:pPr>
          </w:p>
        </w:tc>
        <w:tc>
          <w:tcPr>
            <w:tcW w:w="1785" w:type="dxa"/>
            <w:vAlign w:val="center"/>
          </w:tcPr>
          <w:p w:rsidR="00E93722" w:rsidRPr="00E93722" w:rsidRDefault="00E93722" w:rsidP="00E93722">
            <w:pPr>
              <w:jc w:val="center"/>
              <w:rPr>
                <w:rFonts w:ascii="Times New Roman" w:hAnsi="Times New Roman" w:cs="Times New Roman"/>
              </w:rPr>
            </w:pPr>
            <w:r w:rsidRPr="00E93722">
              <w:rPr>
                <w:rFonts w:ascii="Times New Roman" w:hAnsi="Times New Roman" w:cs="Times New Roman"/>
              </w:rPr>
              <w:t>40</w:t>
            </w:r>
          </w:p>
        </w:tc>
        <w:tc>
          <w:tcPr>
            <w:tcW w:w="1785" w:type="dxa"/>
            <w:vAlign w:val="center"/>
          </w:tcPr>
          <w:p w:rsidR="00E93722" w:rsidRPr="00E93722" w:rsidRDefault="00E93722" w:rsidP="00E93722">
            <w:pPr>
              <w:jc w:val="center"/>
              <w:rPr>
                <w:rFonts w:ascii="Times New Roman" w:hAnsi="Times New Roman" w:cs="Times New Roman"/>
              </w:rPr>
            </w:pPr>
          </w:p>
        </w:tc>
        <w:tc>
          <w:tcPr>
            <w:tcW w:w="1786" w:type="dxa"/>
            <w:vAlign w:val="center"/>
          </w:tcPr>
          <w:p w:rsidR="00E93722" w:rsidRPr="00E93722" w:rsidRDefault="00E93722" w:rsidP="00E93722">
            <w:pPr>
              <w:jc w:val="center"/>
              <w:rPr>
                <w:rFonts w:ascii="Times New Roman" w:hAnsi="Times New Roman" w:cs="Times New Roman"/>
              </w:rPr>
            </w:pPr>
            <w:r w:rsidRPr="00E93722">
              <w:rPr>
                <w:rFonts w:ascii="Times New Roman" w:hAnsi="Times New Roman" w:cs="Times New Roman"/>
              </w:rPr>
              <w:t>28</w:t>
            </w:r>
          </w:p>
        </w:tc>
      </w:tr>
    </w:tbl>
    <w:p w:rsidR="00E93722" w:rsidRPr="00E93722" w:rsidRDefault="00E93722" w:rsidP="00E93722">
      <w:pPr>
        <w:spacing w:after="0" w:line="240" w:lineRule="auto"/>
        <w:jc w:val="both"/>
        <w:rPr>
          <w:rFonts w:ascii="Times New Roman" w:hAnsi="Times New Roman" w:cs="Times New Roman"/>
        </w:rPr>
      </w:pPr>
    </w:p>
    <w:p w:rsidR="00E93722" w:rsidRPr="00E93722" w:rsidRDefault="00E93722" w:rsidP="00E93722">
      <w:pPr>
        <w:spacing w:after="0" w:line="240" w:lineRule="auto"/>
        <w:jc w:val="both"/>
        <w:rPr>
          <w:rFonts w:ascii="Times New Roman" w:hAnsi="Times New Roman" w:cs="Times New Roman"/>
        </w:rPr>
      </w:pPr>
      <w:r w:rsidRPr="00E93722">
        <w:rPr>
          <w:rFonts w:ascii="Times New Roman" w:hAnsi="Times New Roman" w:cs="Times New Roman"/>
        </w:rPr>
        <w:t>Inne ważne dane finansowe:</w:t>
      </w:r>
    </w:p>
    <w:p w:rsidR="00E93722" w:rsidRPr="00E93722" w:rsidRDefault="00E93722" w:rsidP="00E93722">
      <w:pPr>
        <w:spacing w:after="0" w:line="240" w:lineRule="auto"/>
        <w:jc w:val="both"/>
        <w:rPr>
          <w:rFonts w:ascii="Times New Roman" w:hAnsi="Times New Roman" w:cs="Times New Roman"/>
        </w:rPr>
      </w:pPr>
      <w:r w:rsidRPr="00E93722">
        <w:rPr>
          <w:rFonts w:ascii="Times New Roman" w:hAnsi="Times New Roman" w:cs="Times New Roman"/>
        </w:rPr>
        <w:t>Stopa zwrotu wolna od ryzyka: 4,0%</w:t>
      </w:r>
    </w:p>
    <w:p w:rsidR="00E93722" w:rsidRPr="00E93722" w:rsidRDefault="00E93722" w:rsidP="00E93722">
      <w:pPr>
        <w:spacing w:after="0" w:line="240" w:lineRule="auto"/>
        <w:jc w:val="both"/>
        <w:rPr>
          <w:rFonts w:ascii="Times New Roman" w:hAnsi="Times New Roman" w:cs="Times New Roman"/>
        </w:rPr>
      </w:pPr>
      <w:r w:rsidRPr="00E93722">
        <w:rPr>
          <w:rFonts w:ascii="Times New Roman" w:hAnsi="Times New Roman" w:cs="Times New Roman"/>
        </w:rPr>
        <w:t>Średnia rynkowa stopa zwrotu: 10,5%</w:t>
      </w:r>
    </w:p>
    <w:p w:rsidR="00E93722" w:rsidRPr="00E93722" w:rsidRDefault="00E93722" w:rsidP="00E93722">
      <w:pPr>
        <w:spacing w:after="0" w:line="240" w:lineRule="auto"/>
        <w:jc w:val="both"/>
        <w:rPr>
          <w:rFonts w:ascii="Times New Roman" w:hAnsi="Times New Roman" w:cs="Times New Roman"/>
        </w:rPr>
      </w:pPr>
      <w:r w:rsidRPr="00E93722">
        <w:rPr>
          <w:rFonts w:ascii="Times New Roman" w:hAnsi="Times New Roman" w:cs="Times New Roman"/>
        </w:rPr>
        <w:t>Opodatkowanie: 30%</w:t>
      </w:r>
    </w:p>
    <w:p w:rsidR="00E93722" w:rsidRPr="00E93722" w:rsidRDefault="00E93722" w:rsidP="00E93722">
      <w:pPr>
        <w:spacing w:after="0" w:line="240" w:lineRule="auto"/>
        <w:jc w:val="both"/>
        <w:rPr>
          <w:rFonts w:ascii="Times New Roman" w:hAnsi="Times New Roman" w:cs="Times New Roman"/>
        </w:rPr>
      </w:pPr>
    </w:p>
    <w:p w:rsidR="00E93722" w:rsidRPr="00E93722" w:rsidRDefault="00E93722" w:rsidP="00E93722">
      <w:pPr>
        <w:spacing w:after="0" w:line="240" w:lineRule="auto"/>
        <w:jc w:val="both"/>
        <w:rPr>
          <w:rFonts w:ascii="Times New Roman" w:hAnsi="Times New Roman" w:cs="Times New Roman"/>
        </w:rPr>
      </w:pPr>
      <w:r w:rsidRPr="00E93722">
        <w:rPr>
          <w:rFonts w:ascii="Times New Roman" w:hAnsi="Times New Roman" w:cs="Times New Roman"/>
        </w:rPr>
        <w:t>Koszt kapitału własnego NGN to 12% rocznie, a firma przez ostatnie kilka lat wypłacała roczną dywidendę na poziomie 45% (roczna stopa dywidendy). Aktualna cena jednej akcji to 80c i przez ostatnie kilka lat wartość akcji rosła o 4,5%.</w:t>
      </w:r>
    </w:p>
    <w:p w:rsidR="00E93722" w:rsidRPr="00E93722" w:rsidRDefault="00E93722" w:rsidP="00E93722">
      <w:pPr>
        <w:spacing w:after="0" w:line="240" w:lineRule="auto"/>
        <w:jc w:val="both"/>
        <w:rPr>
          <w:rFonts w:ascii="Times New Roman" w:hAnsi="Times New Roman" w:cs="Times New Roman"/>
        </w:rPr>
      </w:pPr>
      <w:r w:rsidRPr="00E93722">
        <w:rPr>
          <w:rFonts w:ascii="Times New Roman" w:hAnsi="Times New Roman" w:cs="Times New Roman"/>
        </w:rPr>
        <w:t xml:space="preserve">Cena akcji KFP (ex div) wynosi 4,2 USD / akcję i współczynnik beta (kapitału własnego) wynosi 1.2. Aktualna cena rynkowa obligacji spółki (o kuponie 7%) (ex interest) wynosi 94,74 USD za 100 USD wartości nominalnej (tej obligacji). </w:t>
      </w:r>
    </w:p>
    <w:p w:rsidR="00E93722" w:rsidRPr="00E93722" w:rsidRDefault="00E93722" w:rsidP="00E93722">
      <w:pPr>
        <w:spacing w:after="0" w:line="240" w:lineRule="auto"/>
        <w:jc w:val="both"/>
        <w:rPr>
          <w:rFonts w:ascii="Times New Roman" w:hAnsi="Times New Roman" w:cs="Times New Roman"/>
        </w:rPr>
      </w:pPr>
      <w:r w:rsidRPr="00E93722">
        <w:rPr>
          <w:rFonts w:ascii="Times New Roman" w:hAnsi="Times New Roman" w:cs="Times New Roman"/>
        </w:rPr>
        <w:t>Współczynnik P/E (cena/zysk) dla spółki KFP wynosi 8 (razy).</w:t>
      </w:r>
    </w:p>
    <w:p w:rsidR="00E93722" w:rsidRDefault="00E93722" w:rsidP="00E93722">
      <w:pPr>
        <w:spacing w:after="0" w:line="240" w:lineRule="auto"/>
        <w:jc w:val="both"/>
        <w:rPr>
          <w:rFonts w:ascii="Times New Roman" w:hAnsi="Times New Roman" w:cs="Times New Roman"/>
        </w:rPr>
      </w:pPr>
      <w:r w:rsidRPr="00E93722">
        <w:rPr>
          <w:rFonts w:ascii="Times New Roman" w:hAnsi="Times New Roman" w:cs="Times New Roman"/>
        </w:rPr>
        <w:t>Dyrektorzy w KFP Co są przekonani, że najlepszym sposobem na kupno akcji spółki NGD jest oferta bezpośredniego zakupu akcji po określonej cenie. Operacja miałaby być sfinansowana długiem.</w:t>
      </w:r>
    </w:p>
    <w:p w:rsidR="00E93722" w:rsidRPr="00E93722" w:rsidRDefault="00E93722" w:rsidP="00E93722">
      <w:pPr>
        <w:spacing w:after="0" w:line="240" w:lineRule="auto"/>
        <w:jc w:val="both"/>
        <w:rPr>
          <w:rFonts w:ascii="Times New Roman" w:hAnsi="Times New Roman" w:cs="Times New Roman"/>
        </w:rPr>
      </w:pPr>
    </w:p>
    <w:p w:rsidR="00E93722" w:rsidRPr="00E93722" w:rsidRDefault="00E93722" w:rsidP="00E93722">
      <w:pPr>
        <w:spacing w:after="0" w:line="240" w:lineRule="auto"/>
        <w:jc w:val="both"/>
        <w:rPr>
          <w:rFonts w:ascii="Times New Roman" w:hAnsi="Times New Roman" w:cs="Times New Roman"/>
          <w:b/>
        </w:rPr>
      </w:pPr>
      <w:r w:rsidRPr="00E93722">
        <w:rPr>
          <w:rFonts w:ascii="Times New Roman" w:hAnsi="Times New Roman" w:cs="Times New Roman"/>
          <w:b/>
        </w:rPr>
        <w:t>POLECENI</w:t>
      </w:r>
      <w:r>
        <w:rPr>
          <w:rFonts w:ascii="Times New Roman" w:hAnsi="Times New Roman" w:cs="Times New Roman"/>
          <w:b/>
        </w:rPr>
        <w:t>A</w:t>
      </w:r>
      <w:r w:rsidRPr="00E93722">
        <w:rPr>
          <w:rFonts w:ascii="Times New Roman" w:hAnsi="Times New Roman" w:cs="Times New Roman"/>
          <w:b/>
        </w:rPr>
        <w:t>:</w:t>
      </w:r>
    </w:p>
    <w:p w:rsidR="00E93722" w:rsidRPr="00E93722" w:rsidRDefault="00E93722" w:rsidP="00E93722">
      <w:pPr>
        <w:pStyle w:val="ListParagraph"/>
        <w:numPr>
          <w:ilvl w:val="0"/>
          <w:numId w:val="20"/>
        </w:numPr>
        <w:spacing w:after="0" w:line="240" w:lineRule="auto"/>
        <w:jc w:val="both"/>
        <w:rPr>
          <w:rFonts w:ascii="Times New Roman" w:hAnsi="Times New Roman" w:cs="Times New Roman"/>
        </w:rPr>
      </w:pPr>
      <w:r w:rsidRPr="00E93722">
        <w:rPr>
          <w:rFonts w:ascii="Times New Roman" w:hAnsi="Times New Roman" w:cs="Times New Roman"/>
        </w:rPr>
        <w:t>Oblicz średnioważony koszt kapitału KFP Co w oparciu o wartości rynkowe (9 pkt.)</w:t>
      </w:r>
    </w:p>
    <w:p w:rsidR="00E93722" w:rsidRPr="00E93722" w:rsidRDefault="00E93722" w:rsidP="00E93722">
      <w:pPr>
        <w:pStyle w:val="ListParagraph"/>
        <w:numPr>
          <w:ilvl w:val="0"/>
          <w:numId w:val="20"/>
        </w:numPr>
        <w:spacing w:after="0" w:line="240" w:lineRule="auto"/>
        <w:jc w:val="both"/>
        <w:rPr>
          <w:rFonts w:ascii="Times New Roman" w:hAnsi="Times New Roman" w:cs="Times New Roman"/>
        </w:rPr>
      </w:pPr>
      <w:r w:rsidRPr="00E93722">
        <w:rPr>
          <w:rFonts w:ascii="Times New Roman" w:hAnsi="Times New Roman" w:cs="Times New Roman"/>
        </w:rPr>
        <w:t>Oblicz całkowitą wartość NGN stosując poniższe metody (5 pkt.)</w:t>
      </w:r>
    </w:p>
    <w:p w:rsidR="00E93722" w:rsidRPr="00E93722" w:rsidRDefault="00E93722" w:rsidP="00E93722">
      <w:pPr>
        <w:pStyle w:val="ListParagraph"/>
        <w:spacing w:after="0" w:line="240" w:lineRule="auto"/>
        <w:jc w:val="both"/>
        <w:rPr>
          <w:rFonts w:ascii="Times New Roman" w:hAnsi="Times New Roman" w:cs="Times New Roman"/>
        </w:rPr>
      </w:pPr>
      <w:r w:rsidRPr="00E93722">
        <w:rPr>
          <w:rFonts w:ascii="Times New Roman" w:hAnsi="Times New Roman" w:cs="Times New Roman"/>
        </w:rPr>
        <w:t>- Metodą ceny/zysków przy zastosowaniu wskaźnika ceny/zysków KFP Co,</w:t>
      </w:r>
    </w:p>
    <w:p w:rsidR="00E93722" w:rsidRPr="00E93722" w:rsidRDefault="00E93722" w:rsidP="00E93722">
      <w:pPr>
        <w:pStyle w:val="ListParagraph"/>
        <w:spacing w:after="0" w:line="240" w:lineRule="auto"/>
        <w:jc w:val="both"/>
        <w:rPr>
          <w:rFonts w:ascii="Times New Roman" w:hAnsi="Times New Roman" w:cs="Times New Roman"/>
        </w:rPr>
      </w:pPr>
      <w:r w:rsidRPr="00E93722">
        <w:rPr>
          <w:rFonts w:ascii="Times New Roman" w:hAnsi="Times New Roman" w:cs="Times New Roman"/>
        </w:rPr>
        <w:t>- Model wzrostu dywidendy.</w:t>
      </w:r>
    </w:p>
    <w:p w:rsidR="00E93722" w:rsidRPr="00E93722" w:rsidRDefault="00E93722" w:rsidP="00E93722">
      <w:pPr>
        <w:pStyle w:val="ListParagraph"/>
        <w:numPr>
          <w:ilvl w:val="0"/>
          <w:numId w:val="20"/>
        </w:numPr>
        <w:spacing w:after="0" w:line="240" w:lineRule="auto"/>
        <w:jc w:val="both"/>
        <w:rPr>
          <w:rFonts w:ascii="Times New Roman" w:hAnsi="Times New Roman" w:cs="Times New Roman"/>
        </w:rPr>
      </w:pPr>
      <w:r w:rsidRPr="00E93722">
        <w:rPr>
          <w:rFonts w:ascii="Times New Roman" w:hAnsi="Times New Roman" w:cs="Times New Roman"/>
        </w:rPr>
        <w:t>Skomentuj pomysł sfinansowania oferty kupna NGN przez KFP za pomocą długu (6 pkt.)</w:t>
      </w:r>
    </w:p>
    <w:p w:rsidR="00E93722" w:rsidRPr="00E93722" w:rsidRDefault="00E93722" w:rsidP="00E93722">
      <w:pPr>
        <w:spacing w:after="0" w:line="240" w:lineRule="auto"/>
        <w:jc w:val="both"/>
        <w:rPr>
          <w:rFonts w:ascii="Times New Roman" w:hAnsi="Times New Roman" w:cs="Times New Roman"/>
        </w:rPr>
      </w:pPr>
    </w:p>
    <w:p w:rsidR="00E93722" w:rsidRPr="00E93722" w:rsidRDefault="00E93722" w:rsidP="00E93722">
      <w:pPr>
        <w:spacing w:after="0" w:line="240" w:lineRule="auto"/>
        <w:jc w:val="both"/>
        <w:rPr>
          <w:rFonts w:ascii="Times New Roman" w:hAnsi="Times New Roman" w:cs="Times New Roman"/>
          <w:b/>
        </w:rPr>
      </w:pPr>
      <w:r w:rsidRPr="00E93722">
        <w:rPr>
          <w:rFonts w:ascii="Times New Roman" w:hAnsi="Times New Roman" w:cs="Times New Roman"/>
          <w:b/>
        </w:rPr>
        <w:t>ROZWIĄZANIA:</w:t>
      </w:r>
    </w:p>
    <w:p w:rsidR="00E93722" w:rsidRPr="00E93722" w:rsidRDefault="00E93722" w:rsidP="00E93722">
      <w:pPr>
        <w:pStyle w:val="ListParagraph"/>
        <w:numPr>
          <w:ilvl w:val="0"/>
          <w:numId w:val="21"/>
        </w:numPr>
        <w:spacing w:after="0" w:line="240" w:lineRule="auto"/>
        <w:jc w:val="both"/>
        <w:rPr>
          <w:rFonts w:ascii="Times New Roman" w:hAnsi="Times New Roman" w:cs="Times New Roman"/>
        </w:rPr>
      </w:pPr>
      <w:r w:rsidRPr="00E93722">
        <w:rPr>
          <w:rFonts w:ascii="Times New Roman" w:hAnsi="Times New Roman" w:cs="Times New Roman"/>
        </w:rPr>
        <w:t>Obliczenie średnioważonego kosztu kapitału</w:t>
      </w:r>
    </w:p>
    <w:p w:rsidR="00E93722" w:rsidRPr="00E93722" w:rsidRDefault="00E93722" w:rsidP="00E93722">
      <w:pPr>
        <w:pStyle w:val="ListParagraph"/>
        <w:spacing w:after="0" w:line="240" w:lineRule="auto"/>
        <w:jc w:val="both"/>
        <w:rPr>
          <w:rFonts w:ascii="Times New Roman" w:hAnsi="Times New Roman" w:cs="Times New Roman"/>
        </w:rPr>
      </w:pPr>
    </w:p>
    <w:p w:rsidR="00E93722" w:rsidRPr="00E93722" w:rsidRDefault="00E93722" w:rsidP="00E93722">
      <w:pPr>
        <w:pStyle w:val="ListParagraph"/>
        <w:spacing w:after="0" w:line="240" w:lineRule="auto"/>
        <w:jc w:val="both"/>
        <w:rPr>
          <w:rFonts w:ascii="Times New Roman" w:hAnsi="Times New Roman" w:cs="Times New Roman"/>
        </w:rPr>
      </w:pPr>
      <w:r w:rsidRPr="00E93722">
        <w:rPr>
          <w:rFonts w:ascii="Times New Roman" w:hAnsi="Times New Roman" w:cs="Times New Roman"/>
        </w:rPr>
        <w:t>Obliczenie kosztu kapitału KFP Co metodą CAPM:</w:t>
      </w:r>
    </w:p>
    <w:p w:rsidR="00E93722" w:rsidRPr="00E93722" w:rsidRDefault="00E93722" w:rsidP="00E93722">
      <w:pPr>
        <w:pStyle w:val="ListParagraph"/>
        <w:spacing w:after="0" w:line="240" w:lineRule="auto"/>
        <w:jc w:val="both"/>
        <w:rPr>
          <w:rFonts w:ascii="Times New Roman" w:hAnsi="Times New Roman" w:cs="Times New Roman"/>
        </w:rPr>
      </w:pPr>
      <w:r w:rsidRPr="00E93722">
        <w:rPr>
          <w:rFonts w:ascii="Times New Roman" w:hAnsi="Times New Roman" w:cs="Times New Roman"/>
        </w:rPr>
        <w:t>4,0 + (1,2 * (10,5 – 4,0)) = 4,0 + 7,8 = 11,8 %</w:t>
      </w:r>
    </w:p>
    <w:p w:rsidR="00E93722" w:rsidRPr="00E93722" w:rsidRDefault="00E93722" w:rsidP="00E93722">
      <w:pPr>
        <w:pStyle w:val="ListParagraph"/>
        <w:spacing w:after="0" w:line="240" w:lineRule="auto"/>
        <w:jc w:val="both"/>
        <w:rPr>
          <w:rFonts w:ascii="Times New Roman" w:hAnsi="Times New Roman" w:cs="Times New Roman"/>
        </w:rPr>
      </w:pPr>
    </w:p>
    <w:p w:rsidR="00E93722" w:rsidRPr="00E93722" w:rsidRDefault="00E93722" w:rsidP="00E93722">
      <w:pPr>
        <w:pStyle w:val="ListParagraph"/>
        <w:spacing w:after="0" w:line="240" w:lineRule="auto"/>
        <w:jc w:val="both"/>
        <w:rPr>
          <w:rFonts w:ascii="Times New Roman" w:hAnsi="Times New Roman" w:cs="Times New Roman"/>
        </w:rPr>
      </w:pPr>
      <w:r w:rsidRPr="00E93722">
        <w:rPr>
          <w:rFonts w:ascii="Times New Roman" w:hAnsi="Times New Roman" w:cs="Times New Roman"/>
        </w:rPr>
        <w:t>Oprocentowanie po opodatkowaniu = 100 * 0,07 * (1 – 0,3) + $4,9</w:t>
      </w:r>
    </w:p>
    <w:p w:rsidR="00E93722" w:rsidRPr="00E93722" w:rsidRDefault="00E93722" w:rsidP="00E93722">
      <w:pPr>
        <w:pStyle w:val="ListParagraph"/>
        <w:spacing w:after="0" w:line="240" w:lineRule="auto"/>
        <w:jc w:val="both"/>
        <w:rPr>
          <w:rFonts w:ascii="Times New Roman" w:hAnsi="Times New Roman" w:cs="Times New Roman"/>
        </w:rPr>
      </w:pPr>
    </w:p>
    <w:tbl>
      <w:tblPr>
        <w:tblStyle w:val="TableGrid"/>
        <w:tblW w:w="0" w:type="auto"/>
        <w:tblInd w:w="720" w:type="dxa"/>
        <w:tblLook w:val="04A0" w:firstRow="1" w:lastRow="0" w:firstColumn="1" w:lastColumn="0" w:noHBand="0" w:noVBand="1"/>
      </w:tblPr>
      <w:tblGrid>
        <w:gridCol w:w="1129"/>
        <w:gridCol w:w="1234"/>
        <w:gridCol w:w="1212"/>
        <w:gridCol w:w="1163"/>
        <w:gridCol w:w="1190"/>
        <w:gridCol w:w="1163"/>
        <w:gridCol w:w="1191"/>
      </w:tblGrid>
      <w:tr w:rsidR="00E93722" w:rsidRPr="00E93722" w:rsidTr="009F08FC">
        <w:tc>
          <w:tcPr>
            <w:tcW w:w="1129" w:type="dxa"/>
            <w:vAlign w:val="center"/>
          </w:tcPr>
          <w:p w:rsidR="00E93722" w:rsidRPr="00E93722" w:rsidRDefault="00E93722" w:rsidP="00E93722">
            <w:pPr>
              <w:pStyle w:val="ListParagraph"/>
              <w:ind w:left="0"/>
              <w:jc w:val="center"/>
              <w:rPr>
                <w:rFonts w:ascii="Times New Roman" w:hAnsi="Times New Roman" w:cs="Times New Roman"/>
              </w:rPr>
            </w:pPr>
            <w:r w:rsidRPr="00E93722">
              <w:rPr>
                <w:rFonts w:ascii="Times New Roman" w:hAnsi="Times New Roman" w:cs="Times New Roman"/>
              </w:rPr>
              <w:t>Rok</w:t>
            </w:r>
          </w:p>
        </w:tc>
        <w:tc>
          <w:tcPr>
            <w:tcW w:w="1234" w:type="dxa"/>
            <w:vAlign w:val="center"/>
          </w:tcPr>
          <w:p w:rsidR="00E93722" w:rsidRPr="00E93722" w:rsidRDefault="00E93722" w:rsidP="00E93722">
            <w:pPr>
              <w:pStyle w:val="ListParagraph"/>
              <w:ind w:left="0"/>
              <w:jc w:val="center"/>
              <w:rPr>
                <w:rFonts w:ascii="Times New Roman" w:hAnsi="Times New Roman" w:cs="Times New Roman"/>
              </w:rPr>
            </w:pPr>
            <w:r w:rsidRPr="00E93722">
              <w:rPr>
                <w:rFonts w:ascii="Times New Roman" w:hAnsi="Times New Roman" w:cs="Times New Roman"/>
              </w:rPr>
              <w:t>Przepływ pieniężny</w:t>
            </w:r>
          </w:p>
        </w:tc>
        <w:tc>
          <w:tcPr>
            <w:tcW w:w="1212" w:type="dxa"/>
            <w:vAlign w:val="center"/>
          </w:tcPr>
          <w:p w:rsidR="00E93722" w:rsidRPr="00E93722" w:rsidRDefault="00E93722" w:rsidP="00E93722">
            <w:pPr>
              <w:pStyle w:val="ListParagraph"/>
              <w:ind w:left="0"/>
              <w:jc w:val="center"/>
              <w:rPr>
                <w:rFonts w:ascii="Times New Roman" w:hAnsi="Times New Roman" w:cs="Times New Roman"/>
              </w:rPr>
            </w:pPr>
            <w:r w:rsidRPr="00E93722">
              <w:rPr>
                <w:rFonts w:ascii="Times New Roman" w:hAnsi="Times New Roman" w:cs="Times New Roman"/>
              </w:rPr>
              <w:t>Wartość w $</w:t>
            </w:r>
          </w:p>
        </w:tc>
        <w:tc>
          <w:tcPr>
            <w:tcW w:w="1163" w:type="dxa"/>
            <w:vAlign w:val="center"/>
          </w:tcPr>
          <w:p w:rsidR="00E93722" w:rsidRPr="00E93722" w:rsidRDefault="00E93722" w:rsidP="00E93722">
            <w:pPr>
              <w:pStyle w:val="ListParagraph"/>
              <w:ind w:left="0"/>
              <w:jc w:val="center"/>
              <w:rPr>
                <w:rFonts w:ascii="Times New Roman" w:hAnsi="Times New Roman" w:cs="Times New Roman"/>
              </w:rPr>
            </w:pPr>
            <w:r w:rsidRPr="00E93722">
              <w:rPr>
                <w:rFonts w:ascii="Times New Roman" w:hAnsi="Times New Roman" w:cs="Times New Roman"/>
              </w:rPr>
              <w:t xml:space="preserve">Dyskonto 10% </w:t>
            </w:r>
          </w:p>
        </w:tc>
        <w:tc>
          <w:tcPr>
            <w:tcW w:w="1190" w:type="dxa"/>
            <w:vAlign w:val="center"/>
          </w:tcPr>
          <w:p w:rsidR="00E93722" w:rsidRPr="00E93722" w:rsidRDefault="00E93722" w:rsidP="00E93722">
            <w:pPr>
              <w:pStyle w:val="ListParagraph"/>
              <w:ind w:left="0"/>
              <w:jc w:val="center"/>
              <w:rPr>
                <w:rFonts w:ascii="Times New Roman" w:hAnsi="Times New Roman" w:cs="Times New Roman"/>
              </w:rPr>
            </w:pPr>
            <w:r w:rsidRPr="00E93722">
              <w:rPr>
                <w:rFonts w:ascii="Times New Roman" w:hAnsi="Times New Roman" w:cs="Times New Roman"/>
              </w:rPr>
              <w:t>PV ($)</w:t>
            </w:r>
          </w:p>
        </w:tc>
        <w:tc>
          <w:tcPr>
            <w:tcW w:w="1163" w:type="dxa"/>
            <w:vAlign w:val="center"/>
          </w:tcPr>
          <w:p w:rsidR="00E93722" w:rsidRPr="00E93722" w:rsidRDefault="00E93722" w:rsidP="00E93722">
            <w:pPr>
              <w:pStyle w:val="ListParagraph"/>
              <w:ind w:left="0"/>
              <w:jc w:val="center"/>
              <w:rPr>
                <w:rFonts w:ascii="Times New Roman" w:hAnsi="Times New Roman" w:cs="Times New Roman"/>
              </w:rPr>
            </w:pPr>
            <w:r w:rsidRPr="00E93722">
              <w:rPr>
                <w:rFonts w:ascii="Times New Roman" w:hAnsi="Times New Roman" w:cs="Times New Roman"/>
              </w:rPr>
              <w:t>Dyskonto 5%</w:t>
            </w:r>
          </w:p>
        </w:tc>
        <w:tc>
          <w:tcPr>
            <w:tcW w:w="1191" w:type="dxa"/>
            <w:vAlign w:val="center"/>
          </w:tcPr>
          <w:p w:rsidR="00E93722" w:rsidRPr="00E93722" w:rsidRDefault="00E93722" w:rsidP="00E93722">
            <w:pPr>
              <w:pStyle w:val="ListParagraph"/>
              <w:ind w:left="0"/>
              <w:jc w:val="center"/>
              <w:rPr>
                <w:rFonts w:ascii="Times New Roman" w:hAnsi="Times New Roman" w:cs="Times New Roman"/>
              </w:rPr>
            </w:pPr>
            <w:r w:rsidRPr="00E93722">
              <w:rPr>
                <w:rFonts w:ascii="Times New Roman" w:hAnsi="Times New Roman" w:cs="Times New Roman"/>
              </w:rPr>
              <w:t>PV ($)</w:t>
            </w:r>
          </w:p>
        </w:tc>
      </w:tr>
      <w:tr w:rsidR="00E93722" w:rsidRPr="00E93722" w:rsidTr="009F08FC">
        <w:tc>
          <w:tcPr>
            <w:tcW w:w="1129" w:type="dxa"/>
            <w:vAlign w:val="center"/>
          </w:tcPr>
          <w:p w:rsidR="00E93722" w:rsidRPr="00E93722" w:rsidRDefault="00E93722" w:rsidP="00E93722">
            <w:pPr>
              <w:pStyle w:val="ListParagraph"/>
              <w:ind w:left="0"/>
              <w:jc w:val="center"/>
              <w:rPr>
                <w:rFonts w:ascii="Times New Roman" w:hAnsi="Times New Roman" w:cs="Times New Roman"/>
              </w:rPr>
            </w:pPr>
            <w:r w:rsidRPr="00E93722">
              <w:rPr>
                <w:rFonts w:ascii="Times New Roman" w:hAnsi="Times New Roman" w:cs="Times New Roman"/>
              </w:rPr>
              <w:t>0</w:t>
            </w:r>
          </w:p>
        </w:tc>
        <w:tc>
          <w:tcPr>
            <w:tcW w:w="1234" w:type="dxa"/>
            <w:vAlign w:val="center"/>
          </w:tcPr>
          <w:p w:rsidR="00E93722" w:rsidRPr="00E93722" w:rsidRDefault="00E93722" w:rsidP="00E93722">
            <w:pPr>
              <w:pStyle w:val="ListParagraph"/>
              <w:ind w:left="0"/>
              <w:jc w:val="center"/>
              <w:rPr>
                <w:rFonts w:ascii="Times New Roman" w:hAnsi="Times New Roman" w:cs="Times New Roman"/>
              </w:rPr>
            </w:pPr>
            <w:r w:rsidRPr="00E93722">
              <w:rPr>
                <w:rFonts w:ascii="Times New Roman" w:hAnsi="Times New Roman" w:cs="Times New Roman"/>
              </w:rPr>
              <w:t>Zakup po cenie rynkowej</w:t>
            </w:r>
          </w:p>
        </w:tc>
        <w:tc>
          <w:tcPr>
            <w:tcW w:w="1212" w:type="dxa"/>
            <w:vAlign w:val="center"/>
          </w:tcPr>
          <w:p w:rsidR="00E93722" w:rsidRPr="00E93722" w:rsidRDefault="00E93722" w:rsidP="00E93722">
            <w:pPr>
              <w:pStyle w:val="ListParagraph"/>
              <w:ind w:left="0"/>
              <w:jc w:val="center"/>
              <w:rPr>
                <w:rFonts w:ascii="Times New Roman" w:hAnsi="Times New Roman" w:cs="Times New Roman"/>
              </w:rPr>
            </w:pPr>
            <w:r w:rsidRPr="00E93722">
              <w:rPr>
                <w:rFonts w:ascii="Times New Roman" w:hAnsi="Times New Roman" w:cs="Times New Roman"/>
              </w:rPr>
              <w:t>(94,74)</w:t>
            </w:r>
          </w:p>
        </w:tc>
        <w:tc>
          <w:tcPr>
            <w:tcW w:w="1163" w:type="dxa"/>
            <w:vAlign w:val="center"/>
          </w:tcPr>
          <w:p w:rsidR="00E93722" w:rsidRPr="00E93722" w:rsidRDefault="00E93722" w:rsidP="00E93722">
            <w:pPr>
              <w:pStyle w:val="ListParagraph"/>
              <w:ind w:left="0"/>
              <w:jc w:val="center"/>
              <w:rPr>
                <w:rFonts w:ascii="Times New Roman" w:hAnsi="Times New Roman" w:cs="Times New Roman"/>
              </w:rPr>
            </w:pPr>
            <w:r w:rsidRPr="00E93722">
              <w:rPr>
                <w:rFonts w:ascii="Times New Roman" w:hAnsi="Times New Roman" w:cs="Times New Roman"/>
              </w:rPr>
              <w:t>1,000</w:t>
            </w:r>
          </w:p>
        </w:tc>
        <w:tc>
          <w:tcPr>
            <w:tcW w:w="1190" w:type="dxa"/>
            <w:vAlign w:val="center"/>
          </w:tcPr>
          <w:p w:rsidR="00E93722" w:rsidRPr="00E93722" w:rsidRDefault="00E93722" w:rsidP="00E93722">
            <w:pPr>
              <w:pStyle w:val="ListParagraph"/>
              <w:ind w:left="0"/>
              <w:jc w:val="center"/>
              <w:rPr>
                <w:rFonts w:ascii="Times New Roman" w:hAnsi="Times New Roman" w:cs="Times New Roman"/>
              </w:rPr>
            </w:pPr>
            <w:r w:rsidRPr="00E93722">
              <w:rPr>
                <w:rFonts w:ascii="Times New Roman" w:hAnsi="Times New Roman" w:cs="Times New Roman"/>
              </w:rPr>
              <w:t>(94,74)</w:t>
            </w:r>
          </w:p>
        </w:tc>
        <w:tc>
          <w:tcPr>
            <w:tcW w:w="1163" w:type="dxa"/>
            <w:vAlign w:val="center"/>
          </w:tcPr>
          <w:p w:rsidR="00E93722" w:rsidRPr="00E93722" w:rsidRDefault="00E93722" w:rsidP="00E93722">
            <w:pPr>
              <w:pStyle w:val="ListParagraph"/>
              <w:ind w:left="0"/>
              <w:jc w:val="center"/>
              <w:rPr>
                <w:rFonts w:ascii="Times New Roman" w:hAnsi="Times New Roman" w:cs="Times New Roman"/>
              </w:rPr>
            </w:pPr>
            <w:r w:rsidRPr="00E93722">
              <w:rPr>
                <w:rFonts w:ascii="Times New Roman" w:hAnsi="Times New Roman" w:cs="Times New Roman"/>
              </w:rPr>
              <w:t>1,000</w:t>
            </w:r>
          </w:p>
        </w:tc>
        <w:tc>
          <w:tcPr>
            <w:tcW w:w="1191" w:type="dxa"/>
            <w:vAlign w:val="center"/>
          </w:tcPr>
          <w:p w:rsidR="00E93722" w:rsidRPr="00E93722" w:rsidRDefault="00E93722" w:rsidP="00E93722">
            <w:pPr>
              <w:pStyle w:val="ListParagraph"/>
              <w:ind w:left="0"/>
              <w:jc w:val="center"/>
              <w:rPr>
                <w:rFonts w:ascii="Times New Roman" w:hAnsi="Times New Roman" w:cs="Times New Roman"/>
              </w:rPr>
            </w:pPr>
            <w:r w:rsidRPr="00E93722">
              <w:rPr>
                <w:rFonts w:ascii="Times New Roman" w:hAnsi="Times New Roman" w:cs="Times New Roman"/>
              </w:rPr>
              <w:t>(94,74)</w:t>
            </w:r>
          </w:p>
        </w:tc>
      </w:tr>
      <w:tr w:rsidR="00E93722" w:rsidRPr="00E93722" w:rsidTr="009F08FC">
        <w:tc>
          <w:tcPr>
            <w:tcW w:w="1129" w:type="dxa"/>
            <w:vAlign w:val="center"/>
          </w:tcPr>
          <w:p w:rsidR="00E93722" w:rsidRPr="00E93722" w:rsidRDefault="00E93722" w:rsidP="00E93722">
            <w:pPr>
              <w:pStyle w:val="ListParagraph"/>
              <w:ind w:left="0"/>
              <w:jc w:val="center"/>
              <w:rPr>
                <w:rFonts w:ascii="Times New Roman" w:hAnsi="Times New Roman" w:cs="Times New Roman"/>
              </w:rPr>
            </w:pPr>
            <w:r w:rsidRPr="00E93722">
              <w:rPr>
                <w:rFonts w:ascii="Times New Roman" w:hAnsi="Times New Roman" w:cs="Times New Roman"/>
              </w:rPr>
              <w:t>Od 1 do 7</w:t>
            </w:r>
          </w:p>
        </w:tc>
        <w:tc>
          <w:tcPr>
            <w:tcW w:w="1234" w:type="dxa"/>
            <w:vAlign w:val="center"/>
          </w:tcPr>
          <w:p w:rsidR="00E93722" w:rsidRPr="00E93722" w:rsidRDefault="00E93722" w:rsidP="00E93722">
            <w:pPr>
              <w:pStyle w:val="ListParagraph"/>
              <w:ind w:left="0"/>
              <w:jc w:val="center"/>
              <w:rPr>
                <w:rFonts w:ascii="Times New Roman" w:hAnsi="Times New Roman" w:cs="Times New Roman"/>
              </w:rPr>
            </w:pPr>
            <w:r w:rsidRPr="00E93722">
              <w:rPr>
                <w:rFonts w:ascii="Times New Roman" w:hAnsi="Times New Roman" w:cs="Times New Roman"/>
              </w:rPr>
              <w:t>odsetki</w:t>
            </w:r>
          </w:p>
        </w:tc>
        <w:tc>
          <w:tcPr>
            <w:tcW w:w="1212" w:type="dxa"/>
            <w:vAlign w:val="center"/>
          </w:tcPr>
          <w:p w:rsidR="00E93722" w:rsidRPr="00E93722" w:rsidRDefault="00E93722" w:rsidP="00E93722">
            <w:pPr>
              <w:pStyle w:val="ListParagraph"/>
              <w:ind w:left="0"/>
              <w:jc w:val="center"/>
              <w:rPr>
                <w:rFonts w:ascii="Times New Roman" w:hAnsi="Times New Roman" w:cs="Times New Roman"/>
              </w:rPr>
            </w:pPr>
            <w:r w:rsidRPr="00E93722">
              <w:rPr>
                <w:rFonts w:ascii="Times New Roman" w:hAnsi="Times New Roman" w:cs="Times New Roman"/>
              </w:rPr>
              <w:t>4,9</w:t>
            </w:r>
          </w:p>
        </w:tc>
        <w:tc>
          <w:tcPr>
            <w:tcW w:w="1163" w:type="dxa"/>
            <w:vAlign w:val="center"/>
          </w:tcPr>
          <w:p w:rsidR="00E93722" w:rsidRPr="00E93722" w:rsidRDefault="00E93722" w:rsidP="00E93722">
            <w:pPr>
              <w:pStyle w:val="ListParagraph"/>
              <w:ind w:left="0"/>
              <w:jc w:val="center"/>
              <w:rPr>
                <w:rFonts w:ascii="Times New Roman" w:hAnsi="Times New Roman" w:cs="Times New Roman"/>
              </w:rPr>
            </w:pPr>
            <w:r w:rsidRPr="00E93722">
              <w:rPr>
                <w:rFonts w:ascii="Times New Roman" w:hAnsi="Times New Roman" w:cs="Times New Roman"/>
              </w:rPr>
              <w:t>4,868</w:t>
            </w:r>
          </w:p>
        </w:tc>
        <w:tc>
          <w:tcPr>
            <w:tcW w:w="1190" w:type="dxa"/>
            <w:vAlign w:val="center"/>
          </w:tcPr>
          <w:p w:rsidR="00E93722" w:rsidRPr="00E93722" w:rsidRDefault="00E93722" w:rsidP="00E93722">
            <w:pPr>
              <w:pStyle w:val="ListParagraph"/>
              <w:ind w:left="0"/>
              <w:jc w:val="center"/>
              <w:rPr>
                <w:rFonts w:ascii="Times New Roman" w:hAnsi="Times New Roman" w:cs="Times New Roman"/>
              </w:rPr>
            </w:pPr>
            <w:r w:rsidRPr="00E93722">
              <w:rPr>
                <w:rFonts w:ascii="Times New Roman" w:hAnsi="Times New Roman" w:cs="Times New Roman"/>
              </w:rPr>
              <w:t>23,85</w:t>
            </w:r>
          </w:p>
        </w:tc>
        <w:tc>
          <w:tcPr>
            <w:tcW w:w="1163" w:type="dxa"/>
            <w:vAlign w:val="center"/>
          </w:tcPr>
          <w:p w:rsidR="00E93722" w:rsidRPr="00E93722" w:rsidRDefault="00E93722" w:rsidP="00E93722">
            <w:pPr>
              <w:pStyle w:val="ListParagraph"/>
              <w:ind w:left="0"/>
              <w:jc w:val="center"/>
              <w:rPr>
                <w:rFonts w:ascii="Times New Roman" w:hAnsi="Times New Roman" w:cs="Times New Roman"/>
              </w:rPr>
            </w:pPr>
            <w:r w:rsidRPr="00E93722">
              <w:rPr>
                <w:rFonts w:ascii="Times New Roman" w:hAnsi="Times New Roman" w:cs="Times New Roman"/>
              </w:rPr>
              <w:t>5,786</w:t>
            </w:r>
          </w:p>
        </w:tc>
        <w:tc>
          <w:tcPr>
            <w:tcW w:w="1191" w:type="dxa"/>
            <w:vAlign w:val="center"/>
          </w:tcPr>
          <w:p w:rsidR="00E93722" w:rsidRPr="00E93722" w:rsidRDefault="00E93722" w:rsidP="00E93722">
            <w:pPr>
              <w:pStyle w:val="ListParagraph"/>
              <w:ind w:left="0"/>
              <w:jc w:val="center"/>
              <w:rPr>
                <w:rFonts w:ascii="Times New Roman" w:hAnsi="Times New Roman" w:cs="Times New Roman"/>
              </w:rPr>
            </w:pPr>
            <w:r w:rsidRPr="00E93722">
              <w:rPr>
                <w:rFonts w:ascii="Times New Roman" w:hAnsi="Times New Roman" w:cs="Times New Roman"/>
              </w:rPr>
              <w:t>28,35</w:t>
            </w:r>
          </w:p>
        </w:tc>
      </w:tr>
      <w:tr w:rsidR="00E93722" w:rsidRPr="00E93722" w:rsidTr="009F08FC">
        <w:tc>
          <w:tcPr>
            <w:tcW w:w="1129" w:type="dxa"/>
            <w:vAlign w:val="center"/>
          </w:tcPr>
          <w:p w:rsidR="00E93722" w:rsidRPr="00E93722" w:rsidRDefault="00E93722" w:rsidP="00E93722">
            <w:pPr>
              <w:pStyle w:val="ListParagraph"/>
              <w:ind w:left="0"/>
              <w:jc w:val="center"/>
              <w:rPr>
                <w:rFonts w:ascii="Times New Roman" w:hAnsi="Times New Roman" w:cs="Times New Roman"/>
              </w:rPr>
            </w:pPr>
            <w:r w:rsidRPr="00E93722">
              <w:rPr>
                <w:rFonts w:ascii="Times New Roman" w:hAnsi="Times New Roman" w:cs="Times New Roman"/>
              </w:rPr>
              <w:t>7</w:t>
            </w:r>
          </w:p>
        </w:tc>
        <w:tc>
          <w:tcPr>
            <w:tcW w:w="1234" w:type="dxa"/>
            <w:vAlign w:val="center"/>
          </w:tcPr>
          <w:p w:rsidR="00E93722" w:rsidRPr="00E93722" w:rsidRDefault="00E93722" w:rsidP="00E93722">
            <w:pPr>
              <w:pStyle w:val="ListParagraph"/>
              <w:ind w:left="0"/>
              <w:jc w:val="center"/>
              <w:rPr>
                <w:rFonts w:ascii="Times New Roman" w:hAnsi="Times New Roman" w:cs="Times New Roman"/>
              </w:rPr>
            </w:pPr>
            <w:r w:rsidRPr="00E93722">
              <w:rPr>
                <w:rFonts w:ascii="Times New Roman" w:hAnsi="Times New Roman" w:cs="Times New Roman"/>
              </w:rPr>
              <w:t>wykup</w:t>
            </w:r>
          </w:p>
        </w:tc>
        <w:tc>
          <w:tcPr>
            <w:tcW w:w="1212" w:type="dxa"/>
            <w:vAlign w:val="center"/>
          </w:tcPr>
          <w:p w:rsidR="00E93722" w:rsidRPr="00E93722" w:rsidRDefault="00E93722" w:rsidP="00E93722">
            <w:pPr>
              <w:pStyle w:val="ListParagraph"/>
              <w:ind w:left="0"/>
              <w:jc w:val="center"/>
              <w:rPr>
                <w:rFonts w:ascii="Times New Roman" w:hAnsi="Times New Roman" w:cs="Times New Roman"/>
              </w:rPr>
            </w:pPr>
            <w:r w:rsidRPr="00E93722">
              <w:rPr>
                <w:rFonts w:ascii="Times New Roman" w:hAnsi="Times New Roman" w:cs="Times New Roman"/>
              </w:rPr>
              <w:t>100</w:t>
            </w:r>
          </w:p>
        </w:tc>
        <w:tc>
          <w:tcPr>
            <w:tcW w:w="1163" w:type="dxa"/>
            <w:vAlign w:val="center"/>
          </w:tcPr>
          <w:p w:rsidR="00E93722" w:rsidRPr="00E93722" w:rsidRDefault="00E93722" w:rsidP="00E93722">
            <w:pPr>
              <w:pStyle w:val="ListParagraph"/>
              <w:ind w:left="0"/>
              <w:jc w:val="center"/>
              <w:rPr>
                <w:rFonts w:ascii="Times New Roman" w:hAnsi="Times New Roman" w:cs="Times New Roman"/>
              </w:rPr>
            </w:pPr>
            <w:r w:rsidRPr="00E93722">
              <w:rPr>
                <w:rFonts w:ascii="Times New Roman" w:hAnsi="Times New Roman" w:cs="Times New Roman"/>
              </w:rPr>
              <w:t>0,513</w:t>
            </w:r>
          </w:p>
        </w:tc>
        <w:tc>
          <w:tcPr>
            <w:tcW w:w="1190" w:type="dxa"/>
            <w:vAlign w:val="center"/>
          </w:tcPr>
          <w:p w:rsidR="00E93722" w:rsidRPr="00E93722" w:rsidRDefault="00E93722" w:rsidP="00E93722">
            <w:pPr>
              <w:pStyle w:val="ListParagraph"/>
              <w:ind w:left="0"/>
              <w:jc w:val="center"/>
              <w:rPr>
                <w:rFonts w:ascii="Times New Roman" w:hAnsi="Times New Roman" w:cs="Times New Roman"/>
              </w:rPr>
            </w:pPr>
            <w:r w:rsidRPr="00E93722">
              <w:rPr>
                <w:rFonts w:ascii="Times New Roman" w:hAnsi="Times New Roman" w:cs="Times New Roman"/>
              </w:rPr>
              <w:t>51,30</w:t>
            </w:r>
          </w:p>
        </w:tc>
        <w:tc>
          <w:tcPr>
            <w:tcW w:w="1163" w:type="dxa"/>
            <w:vAlign w:val="center"/>
          </w:tcPr>
          <w:p w:rsidR="00E93722" w:rsidRPr="00E93722" w:rsidRDefault="00E93722" w:rsidP="00E93722">
            <w:pPr>
              <w:pStyle w:val="ListParagraph"/>
              <w:ind w:left="0"/>
              <w:jc w:val="center"/>
              <w:rPr>
                <w:rFonts w:ascii="Times New Roman" w:hAnsi="Times New Roman" w:cs="Times New Roman"/>
              </w:rPr>
            </w:pPr>
            <w:r w:rsidRPr="00E93722">
              <w:rPr>
                <w:rFonts w:ascii="Times New Roman" w:hAnsi="Times New Roman" w:cs="Times New Roman"/>
              </w:rPr>
              <w:t>0,711</w:t>
            </w:r>
          </w:p>
        </w:tc>
        <w:tc>
          <w:tcPr>
            <w:tcW w:w="1191" w:type="dxa"/>
            <w:vAlign w:val="center"/>
          </w:tcPr>
          <w:p w:rsidR="00E93722" w:rsidRPr="00E93722" w:rsidRDefault="00E93722" w:rsidP="00E93722">
            <w:pPr>
              <w:pStyle w:val="ListParagraph"/>
              <w:ind w:left="0"/>
              <w:jc w:val="center"/>
              <w:rPr>
                <w:rFonts w:ascii="Times New Roman" w:hAnsi="Times New Roman" w:cs="Times New Roman"/>
              </w:rPr>
            </w:pPr>
            <w:r w:rsidRPr="00E93722">
              <w:rPr>
                <w:rFonts w:ascii="Times New Roman" w:hAnsi="Times New Roman" w:cs="Times New Roman"/>
              </w:rPr>
              <w:t>71,10</w:t>
            </w:r>
          </w:p>
        </w:tc>
      </w:tr>
      <w:tr w:rsidR="00E93722" w:rsidRPr="00E93722" w:rsidTr="009F08FC">
        <w:tc>
          <w:tcPr>
            <w:tcW w:w="4738" w:type="dxa"/>
            <w:gridSpan w:val="4"/>
            <w:vAlign w:val="center"/>
          </w:tcPr>
          <w:p w:rsidR="00E93722" w:rsidRPr="00E93722" w:rsidRDefault="00E93722" w:rsidP="00E93722">
            <w:pPr>
              <w:pStyle w:val="ListParagraph"/>
              <w:ind w:left="0"/>
              <w:jc w:val="center"/>
              <w:rPr>
                <w:rFonts w:ascii="Times New Roman" w:hAnsi="Times New Roman" w:cs="Times New Roman"/>
              </w:rPr>
            </w:pPr>
          </w:p>
        </w:tc>
        <w:tc>
          <w:tcPr>
            <w:tcW w:w="1190" w:type="dxa"/>
            <w:vAlign w:val="center"/>
          </w:tcPr>
          <w:p w:rsidR="00E93722" w:rsidRPr="00E93722" w:rsidRDefault="00E93722" w:rsidP="00E93722">
            <w:pPr>
              <w:pStyle w:val="ListParagraph"/>
              <w:ind w:left="0"/>
              <w:jc w:val="center"/>
              <w:rPr>
                <w:rFonts w:ascii="Times New Roman" w:hAnsi="Times New Roman" w:cs="Times New Roman"/>
              </w:rPr>
            </w:pPr>
            <w:r w:rsidRPr="00E93722">
              <w:rPr>
                <w:rFonts w:ascii="Times New Roman" w:hAnsi="Times New Roman" w:cs="Times New Roman"/>
              </w:rPr>
              <w:t>(19,59)</w:t>
            </w:r>
          </w:p>
        </w:tc>
        <w:tc>
          <w:tcPr>
            <w:tcW w:w="1163" w:type="dxa"/>
            <w:vAlign w:val="center"/>
          </w:tcPr>
          <w:p w:rsidR="00E93722" w:rsidRPr="00E93722" w:rsidRDefault="00E93722" w:rsidP="00E93722">
            <w:pPr>
              <w:pStyle w:val="ListParagraph"/>
              <w:ind w:left="0"/>
              <w:jc w:val="center"/>
              <w:rPr>
                <w:rFonts w:ascii="Times New Roman" w:hAnsi="Times New Roman" w:cs="Times New Roman"/>
              </w:rPr>
            </w:pPr>
          </w:p>
        </w:tc>
        <w:tc>
          <w:tcPr>
            <w:tcW w:w="1191" w:type="dxa"/>
            <w:vAlign w:val="center"/>
          </w:tcPr>
          <w:p w:rsidR="00E93722" w:rsidRPr="00E93722" w:rsidRDefault="00E93722" w:rsidP="00E93722">
            <w:pPr>
              <w:pStyle w:val="ListParagraph"/>
              <w:ind w:left="0"/>
              <w:jc w:val="center"/>
              <w:rPr>
                <w:rFonts w:ascii="Times New Roman" w:hAnsi="Times New Roman" w:cs="Times New Roman"/>
              </w:rPr>
            </w:pPr>
            <w:r w:rsidRPr="00E93722">
              <w:rPr>
                <w:rFonts w:ascii="Times New Roman" w:hAnsi="Times New Roman" w:cs="Times New Roman"/>
              </w:rPr>
              <w:t>4,71</w:t>
            </w:r>
          </w:p>
        </w:tc>
      </w:tr>
    </w:tbl>
    <w:p w:rsidR="00E93722" w:rsidRPr="00E93722" w:rsidRDefault="00E93722" w:rsidP="00E93722">
      <w:pPr>
        <w:pStyle w:val="ListParagraph"/>
        <w:spacing w:after="0" w:line="240" w:lineRule="auto"/>
        <w:jc w:val="both"/>
        <w:rPr>
          <w:rFonts w:ascii="Times New Roman" w:hAnsi="Times New Roman" w:cs="Times New Roman"/>
        </w:rPr>
      </w:pPr>
    </w:p>
    <w:p w:rsidR="00E93722" w:rsidRPr="00E93722" w:rsidRDefault="00E93722" w:rsidP="00E93722">
      <w:pPr>
        <w:pStyle w:val="ListParagraph"/>
        <w:spacing w:after="0" w:line="240" w:lineRule="auto"/>
        <w:jc w:val="both"/>
        <w:rPr>
          <w:rFonts w:ascii="Times New Roman" w:hAnsi="Times New Roman" w:cs="Times New Roman"/>
        </w:rPr>
      </w:pPr>
      <w:r w:rsidRPr="00E93722">
        <w:rPr>
          <w:rFonts w:ascii="Times New Roman" w:hAnsi="Times New Roman" w:cs="Times New Roman"/>
        </w:rPr>
        <w:t>Koszt długu po opodatkowaniu = 5 +((10-5) * 4,71)/(4,71 + 19,59) = 5 + 1,0 = 6%</w:t>
      </w:r>
    </w:p>
    <w:p w:rsidR="00E93722" w:rsidRPr="00E93722" w:rsidRDefault="00E93722" w:rsidP="00E93722">
      <w:pPr>
        <w:pStyle w:val="ListParagraph"/>
        <w:spacing w:after="0" w:line="240" w:lineRule="auto"/>
        <w:jc w:val="both"/>
        <w:rPr>
          <w:rFonts w:ascii="Times New Roman" w:hAnsi="Times New Roman" w:cs="Times New Roman"/>
        </w:rPr>
      </w:pPr>
      <w:r w:rsidRPr="00E93722">
        <w:rPr>
          <w:rFonts w:ascii="Times New Roman" w:hAnsi="Times New Roman" w:cs="Times New Roman"/>
        </w:rPr>
        <w:t>Liczba wyemitowanych akcji przez KFP Co = 15 mln $ / 0,5 = 30 mln akcji</w:t>
      </w:r>
    </w:p>
    <w:p w:rsidR="00E93722" w:rsidRPr="00E93722" w:rsidRDefault="00E93722" w:rsidP="00E93722">
      <w:pPr>
        <w:pStyle w:val="ListParagraph"/>
        <w:spacing w:after="0" w:line="240" w:lineRule="auto"/>
        <w:jc w:val="both"/>
        <w:rPr>
          <w:rFonts w:ascii="Times New Roman" w:hAnsi="Times New Roman" w:cs="Times New Roman"/>
        </w:rPr>
      </w:pPr>
      <w:r w:rsidRPr="00E93722">
        <w:rPr>
          <w:rFonts w:ascii="Times New Roman" w:hAnsi="Times New Roman" w:cs="Times New Roman"/>
        </w:rPr>
        <w:t>Wartość rynkowa kapitału = 30 mln * 4,2 = 126 mln $</w:t>
      </w:r>
    </w:p>
    <w:p w:rsidR="00E93722" w:rsidRPr="00E93722" w:rsidRDefault="00E93722" w:rsidP="00E93722">
      <w:pPr>
        <w:pStyle w:val="ListParagraph"/>
        <w:spacing w:after="0" w:line="240" w:lineRule="auto"/>
        <w:jc w:val="both"/>
        <w:rPr>
          <w:rFonts w:ascii="Times New Roman" w:hAnsi="Times New Roman" w:cs="Times New Roman"/>
        </w:rPr>
      </w:pPr>
      <w:r w:rsidRPr="00E93722">
        <w:rPr>
          <w:rFonts w:ascii="Times New Roman" w:hAnsi="Times New Roman" w:cs="Times New Roman"/>
        </w:rPr>
        <w:t>Wartość rynkowa obligacji KFP Co = 15 mln *94,74/100 = 14,211 mln $</w:t>
      </w:r>
    </w:p>
    <w:p w:rsidR="00E93722" w:rsidRPr="00E93722" w:rsidRDefault="00E93722" w:rsidP="00E93722">
      <w:pPr>
        <w:pStyle w:val="ListParagraph"/>
        <w:spacing w:after="0" w:line="240" w:lineRule="auto"/>
        <w:jc w:val="both"/>
        <w:rPr>
          <w:rFonts w:ascii="Times New Roman" w:hAnsi="Times New Roman" w:cs="Times New Roman"/>
          <w:b/>
        </w:rPr>
      </w:pPr>
      <w:r w:rsidRPr="00E93722">
        <w:rPr>
          <w:rFonts w:ascii="Times New Roman" w:hAnsi="Times New Roman" w:cs="Times New Roman"/>
          <w:b/>
        </w:rPr>
        <w:t>WACC = ((11,8 * 126) + (6,0 * 14,211)) / 140,211 = 11,2%</w:t>
      </w:r>
    </w:p>
    <w:p w:rsidR="00E93722" w:rsidRPr="00E93722" w:rsidRDefault="00E93722" w:rsidP="00E93722">
      <w:pPr>
        <w:pStyle w:val="ListParagraph"/>
        <w:spacing w:after="0" w:line="240" w:lineRule="auto"/>
        <w:jc w:val="both"/>
        <w:rPr>
          <w:rFonts w:ascii="Times New Roman" w:hAnsi="Times New Roman" w:cs="Times New Roman"/>
        </w:rPr>
      </w:pPr>
    </w:p>
    <w:p w:rsidR="00E93722" w:rsidRPr="00E93722" w:rsidRDefault="00E93722" w:rsidP="00E93722">
      <w:pPr>
        <w:pStyle w:val="ListParagraph"/>
        <w:spacing w:after="0" w:line="240" w:lineRule="auto"/>
        <w:jc w:val="both"/>
        <w:rPr>
          <w:rFonts w:ascii="Times New Roman" w:hAnsi="Times New Roman" w:cs="Times New Roman"/>
        </w:rPr>
      </w:pPr>
    </w:p>
    <w:p w:rsidR="00E93722" w:rsidRPr="00E93722" w:rsidRDefault="00E93722" w:rsidP="00E93722">
      <w:pPr>
        <w:pStyle w:val="ListParagraph"/>
        <w:numPr>
          <w:ilvl w:val="0"/>
          <w:numId w:val="21"/>
        </w:numPr>
        <w:spacing w:after="0" w:line="240" w:lineRule="auto"/>
        <w:jc w:val="both"/>
        <w:rPr>
          <w:rFonts w:ascii="Times New Roman" w:hAnsi="Times New Roman" w:cs="Times New Roman"/>
          <w:b/>
        </w:rPr>
      </w:pPr>
      <w:r w:rsidRPr="00E93722">
        <w:rPr>
          <w:rFonts w:ascii="Times New Roman" w:hAnsi="Times New Roman" w:cs="Times New Roman"/>
          <w:b/>
        </w:rPr>
        <w:t xml:space="preserve">Obliczanie wartości NGN </w:t>
      </w:r>
    </w:p>
    <w:p w:rsidR="00E93722" w:rsidRPr="00E93722" w:rsidRDefault="00E93722" w:rsidP="00E93722">
      <w:pPr>
        <w:spacing w:after="0" w:line="240" w:lineRule="auto"/>
        <w:ind w:left="360"/>
        <w:jc w:val="both"/>
        <w:rPr>
          <w:rFonts w:ascii="Times New Roman" w:hAnsi="Times New Roman" w:cs="Times New Roman"/>
          <w:b/>
        </w:rPr>
      </w:pPr>
    </w:p>
    <w:p w:rsidR="00E93722" w:rsidRPr="00E93722" w:rsidRDefault="00E93722" w:rsidP="00E93722">
      <w:pPr>
        <w:pStyle w:val="ListParagraph"/>
        <w:spacing w:after="0" w:line="240" w:lineRule="auto"/>
        <w:jc w:val="both"/>
        <w:rPr>
          <w:rFonts w:ascii="Times New Roman" w:hAnsi="Times New Roman" w:cs="Times New Roman"/>
          <w:b/>
        </w:rPr>
      </w:pPr>
      <w:r w:rsidRPr="00E93722">
        <w:rPr>
          <w:rFonts w:ascii="Times New Roman" w:hAnsi="Times New Roman" w:cs="Times New Roman"/>
          <w:b/>
        </w:rPr>
        <w:t>- Metodą cena/zysku</w:t>
      </w:r>
    </w:p>
    <w:p w:rsidR="00E93722" w:rsidRPr="00E93722" w:rsidRDefault="00E93722" w:rsidP="00E93722">
      <w:pPr>
        <w:pStyle w:val="ListParagraph"/>
        <w:spacing w:after="0" w:line="240" w:lineRule="auto"/>
        <w:jc w:val="both"/>
        <w:rPr>
          <w:rFonts w:ascii="Times New Roman" w:hAnsi="Times New Roman" w:cs="Times New Roman"/>
        </w:rPr>
      </w:pPr>
    </w:p>
    <w:p w:rsidR="00E93722" w:rsidRPr="00E93722" w:rsidRDefault="00E93722" w:rsidP="00E93722">
      <w:pPr>
        <w:pStyle w:val="ListParagraph"/>
        <w:spacing w:after="0" w:line="240" w:lineRule="auto"/>
        <w:ind w:left="0"/>
        <w:jc w:val="both"/>
        <w:rPr>
          <w:rFonts w:ascii="Times New Roman" w:hAnsi="Times New Roman" w:cs="Times New Roman"/>
        </w:rPr>
      </w:pPr>
      <w:r w:rsidRPr="00E93722">
        <w:rPr>
          <w:rFonts w:ascii="Times New Roman" w:hAnsi="Times New Roman" w:cs="Times New Roman"/>
        </w:rPr>
        <w:t>Zyski na jedną akcję NGN = 80c na akcję</w:t>
      </w:r>
    </w:p>
    <w:p w:rsidR="00E93722" w:rsidRPr="00E93722" w:rsidRDefault="00E93722" w:rsidP="00E93722">
      <w:pPr>
        <w:pStyle w:val="ListParagraph"/>
        <w:spacing w:after="0" w:line="240" w:lineRule="auto"/>
        <w:ind w:left="0"/>
        <w:jc w:val="both"/>
        <w:rPr>
          <w:rFonts w:ascii="Times New Roman" w:hAnsi="Times New Roman" w:cs="Times New Roman"/>
        </w:rPr>
      </w:pPr>
      <w:r w:rsidRPr="00E93722">
        <w:rPr>
          <w:rFonts w:ascii="Times New Roman" w:hAnsi="Times New Roman" w:cs="Times New Roman"/>
        </w:rPr>
        <w:t>Stosunek cena/zyski spółki KFP Co = 8</w:t>
      </w:r>
    </w:p>
    <w:p w:rsidR="00E93722" w:rsidRPr="00E93722" w:rsidRDefault="00E93722" w:rsidP="00E93722">
      <w:pPr>
        <w:pStyle w:val="ListParagraph"/>
        <w:spacing w:after="0" w:line="240" w:lineRule="auto"/>
        <w:ind w:left="0"/>
        <w:jc w:val="both"/>
        <w:rPr>
          <w:rFonts w:ascii="Times New Roman" w:hAnsi="Times New Roman" w:cs="Times New Roman"/>
        </w:rPr>
      </w:pPr>
      <w:r w:rsidRPr="00E93722">
        <w:rPr>
          <w:rFonts w:ascii="Times New Roman" w:hAnsi="Times New Roman" w:cs="Times New Roman"/>
        </w:rPr>
        <w:t>Cena akcji NGN = 80 * 8 = 640 c = $6,40</w:t>
      </w:r>
    </w:p>
    <w:p w:rsidR="00E93722" w:rsidRPr="00E93722" w:rsidRDefault="00E93722" w:rsidP="00E93722">
      <w:pPr>
        <w:pStyle w:val="ListParagraph"/>
        <w:spacing w:after="0" w:line="240" w:lineRule="auto"/>
        <w:ind w:left="0"/>
        <w:jc w:val="both"/>
        <w:rPr>
          <w:rFonts w:ascii="Times New Roman" w:hAnsi="Times New Roman" w:cs="Times New Roman"/>
        </w:rPr>
      </w:pPr>
      <w:r w:rsidRPr="00E93722">
        <w:rPr>
          <w:rFonts w:ascii="Times New Roman" w:hAnsi="Times New Roman" w:cs="Times New Roman"/>
        </w:rPr>
        <w:t>Ilość akcji zwykłych NGN = 5/0.5 = 10 mln akcji zwykłych</w:t>
      </w:r>
    </w:p>
    <w:p w:rsidR="00E93722" w:rsidRPr="00E93722" w:rsidRDefault="00E93722" w:rsidP="00E93722">
      <w:pPr>
        <w:pStyle w:val="ListParagraph"/>
        <w:spacing w:after="0" w:line="240" w:lineRule="auto"/>
        <w:ind w:left="0"/>
        <w:jc w:val="both"/>
        <w:rPr>
          <w:rFonts w:ascii="Times New Roman" w:hAnsi="Times New Roman" w:cs="Times New Roman"/>
        </w:rPr>
      </w:pPr>
      <w:r w:rsidRPr="00E93722">
        <w:rPr>
          <w:rFonts w:ascii="Times New Roman" w:hAnsi="Times New Roman" w:cs="Times New Roman"/>
        </w:rPr>
        <w:t>Wartość NGN = 6,40 * 10 mln = 64 mln $</w:t>
      </w:r>
    </w:p>
    <w:p w:rsidR="00E93722" w:rsidRPr="00E93722" w:rsidRDefault="00E93722" w:rsidP="00E93722">
      <w:pPr>
        <w:pStyle w:val="ListParagraph"/>
        <w:spacing w:after="0" w:line="240" w:lineRule="auto"/>
        <w:ind w:left="0"/>
        <w:jc w:val="both"/>
        <w:rPr>
          <w:rFonts w:ascii="Times New Roman" w:hAnsi="Times New Roman" w:cs="Times New Roman"/>
        </w:rPr>
      </w:pPr>
    </w:p>
    <w:p w:rsidR="00E93722" w:rsidRPr="00E93722" w:rsidRDefault="00E93722" w:rsidP="00E93722">
      <w:pPr>
        <w:pStyle w:val="ListParagraph"/>
        <w:spacing w:after="0" w:line="240" w:lineRule="auto"/>
        <w:ind w:left="0"/>
        <w:jc w:val="both"/>
        <w:rPr>
          <w:rFonts w:ascii="Times New Roman" w:hAnsi="Times New Roman" w:cs="Times New Roman"/>
        </w:rPr>
      </w:pPr>
      <w:r w:rsidRPr="00E93722">
        <w:rPr>
          <w:rFonts w:ascii="Times New Roman" w:hAnsi="Times New Roman" w:cs="Times New Roman"/>
        </w:rPr>
        <w:t>Jest dyskusyjnym czy obniżka  w użytym wskaźniku cena/zysk jest potrzebna. Wielu praktyków sugeruje, że taka obniżka jest konieczną ponieważ NGN jest spółką nienotowaną na giełdzie (</w:t>
      </w:r>
      <w:r w:rsidRPr="00E93722">
        <w:rPr>
          <w:rFonts w:ascii="Times New Roman" w:hAnsi="Times New Roman" w:cs="Times New Roman"/>
          <w:i/>
        </w:rPr>
        <w:t>unlisted</w:t>
      </w:r>
      <w:r w:rsidRPr="00E93722">
        <w:rPr>
          <w:rFonts w:ascii="Times New Roman" w:hAnsi="Times New Roman" w:cs="Times New Roman"/>
        </w:rPr>
        <w:t xml:space="preserve">), a przez to ich akcje są trudniejsze do zakupu niż innych spółek notowanych, takich jak KFP Co. </w:t>
      </w:r>
    </w:p>
    <w:p w:rsidR="00E93722" w:rsidRPr="00E93722" w:rsidRDefault="00E93722" w:rsidP="00E93722">
      <w:pPr>
        <w:pStyle w:val="ListParagraph"/>
        <w:spacing w:after="0" w:line="240" w:lineRule="auto"/>
        <w:ind w:left="0"/>
        <w:jc w:val="both"/>
        <w:rPr>
          <w:rFonts w:ascii="Times New Roman" w:hAnsi="Times New Roman" w:cs="Times New Roman"/>
        </w:rPr>
      </w:pPr>
      <w:r w:rsidRPr="00E93722">
        <w:rPr>
          <w:rFonts w:ascii="Times New Roman" w:hAnsi="Times New Roman" w:cs="Times New Roman"/>
        </w:rPr>
        <w:t>Jeżeli dokonamy tej redukcji o 10% (albo o inną podobną kwotę) stosunek ceny do zysku wyniesie 7.2, a wtedy wartość NGN wynosiłaby = (80/100) * 7,2 * 10 mln= 57,6 mln $.</w:t>
      </w:r>
    </w:p>
    <w:p w:rsidR="00E93722" w:rsidRPr="00E93722" w:rsidRDefault="00E93722" w:rsidP="00E93722">
      <w:pPr>
        <w:pStyle w:val="ListParagraph"/>
        <w:spacing w:after="0" w:line="240" w:lineRule="auto"/>
        <w:ind w:left="0"/>
        <w:jc w:val="both"/>
        <w:rPr>
          <w:rFonts w:ascii="Times New Roman" w:hAnsi="Times New Roman" w:cs="Times New Roman"/>
        </w:rPr>
      </w:pPr>
    </w:p>
    <w:p w:rsidR="00E93722" w:rsidRPr="00E93722" w:rsidRDefault="00E93722" w:rsidP="00E93722">
      <w:pPr>
        <w:pStyle w:val="ListParagraph"/>
        <w:spacing w:after="0" w:line="240" w:lineRule="auto"/>
        <w:ind w:left="0"/>
        <w:jc w:val="both"/>
        <w:rPr>
          <w:rFonts w:ascii="Times New Roman" w:hAnsi="Times New Roman" w:cs="Times New Roman"/>
        </w:rPr>
      </w:pPr>
    </w:p>
    <w:p w:rsidR="00E93722" w:rsidRPr="00E93722" w:rsidRDefault="00E93722" w:rsidP="00E93722">
      <w:pPr>
        <w:pStyle w:val="ListParagraph"/>
        <w:spacing w:after="0" w:line="240" w:lineRule="auto"/>
        <w:jc w:val="both"/>
        <w:rPr>
          <w:rFonts w:ascii="Times New Roman" w:hAnsi="Times New Roman" w:cs="Times New Roman"/>
          <w:b/>
        </w:rPr>
      </w:pPr>
      <w:r w:rsidRPr="00E93722">
        <w:rPr>
          <w:rFonts w:ascii="Times New Roman" w:hAnsi="Times New Roman" w:cs="Times New Roman"/>
          <w:b/>
        </w:rPr>
        <w:t>- Metodą wzrostu dywidendy</w:t>
      </w:r>
    </w:p>
    <w:p w:rsidR="00E93722" w:rsidRPr="00E93722" w:rsidRDefault="00E93722" w:rsidP="00E93722">
      <w:pPr>
        <w:pStyle w:val="ListParagraph"/>
        <w:spacing w:after="0" w:line="240" w:lineRule="auto"/>
        <w:jc w:val="both"/>
        <w:rPr>
          <w:rFonts w:ascii="Times New Roman" w:hAnsi="Times New Roman" w:cs="Times New Roman"/>
        </w:rPr>
      </w:pPr>
    </w:p>
    <w:p w:rsidR="00E93722" w:rsidRPr="00E93722" w:rsidRDefault="00E93722" w:rsidP="00E93722">
      <w:pPr>
        <w:pStyle w:val="ListParagraph"/>
        <w:spacing w:after="0" w:line="240" w:lineRule="auto"/>
        <w:ind w:left="0"/>
        <w:jc w:val="both"/>
        <w:rPr>
          <w:rFonts w:ascii="Times New Roman" w:hAnsi="Times New Roman" w:cs="Times New Roman"/>
        </w:rPr>
      </w:pPr>
      <w:r w:rsidRPr="00E93722">
        <w:rPr>
          <w:rFonts w:ascii="Times New Roman" w:hAnsi="Times New Roman" w:cs="Times New Roman"/>
        </w:rPr>
        <w:t>Dywidenda na jedną akcję NGN = 80c * 0,45 = 36c/akcję</w:t>
      </w:r>
    </w:p>
    <w:p w:rsidR="00E93722" w:rsidRPr="00E93722" w:rsidRDefault="00E93722" w:rsidP="00E93722">
      <w:pPr>
        <w:pStyle w:val="ListParagraph"/>
        <w:spacing w:after="0" w:line="240" w:lineRule="auto"/>
        <w:ind w:left="0"/>
        <w:jc w:val="both"/>
        <w:rPr>
          <w:rFonts w:ascii="Times New Roman" w:hAnsi="Times New Roman" w:cs="Times New Roman"/>
        </w:rPr>
      </w:pPr>
    </w:p>
    <w:p w:rsidR="00E93722" w:rsidRPr="00E93722" w:rsidRDefault="00E93722" w:rsidP="00E93722">
      <w:pPr>
        <w:pStyle w:val="ListParagraph"/>
        <w:spacing w:after="0" w:line="240" w:lineRule="auto"/>
        <w:ind w:left="0"/>
        <w:jc w:val="both"/>
        <w:rPr>
          <w:rFonts w:ascii="Times New Roman" w:hAnsi="Times New Roman" w:cs="Times New Roman"/>
        </w:rPr>
      </w:pPr>
      <w:r w:rsidRPr="00E93722">
        <w:rPr>
          <w:rFonts w:ascii="Times New Roman" w:hAnsi="Times New Roman" w:cs="Times New Roman"/>
        </w:rPr>
        <w:t>W związku z tym, że przez ostatnie lata dywidenda była wypłacana można wywnioskować, że wzrost zysków jest taki sam jak wzrost dywidendy tj. 4,5%. Zakładając, że wzrost dywidendy utrzyma się na tym poziomie można założyć, że przyszły wzrost dywidendy będzie wynosić 4,5%.</w:t>
      </w:r>
    </w:p>
    <w:p w:rsidR="00E93722" w:rsidRPr="00E93722" w:rsidRDefault="00E93722" w:rsidP="00E93722">
      <w:pPr>
        <w:pStyle w:val="ListParagraph"/>
        <w:spacing w:after="0" w:line="240" w:lineRule="auto"/>
        <w:ind w:left="0"/>
        <w:jc w:val="both"/>
        <w:rPr>
          <w:rFonts w:ascii="Times New Roman" w:hAnsi="Times New Roman" w:cs="Times New Roman"/>
        </w:rPr>
      </w:pPr>
    </w:p>
    <w:p w:rsidR="00E93722" w:rsidRPr="00E93722" w:rsidRDefault="00E93722" w:rsidP="00E93722">
      <w:pPr>
        <w:pStyle w:val="ListParagraph"/>
        <w:spacing w:after="0" w:line="240" w:lineRule="auto"/>
        <w:ind w:left="0"/>
        <w:jc w:val="both"/>
        <w:rPr>
          <w:rFonts w:ascii="Times New Roman" w:hAnsi="Times New Roman" w:cs="Times New Roman"/>
        </w:rPr>
      </w:pPr>
      <w:r w:rsidRPr="00E93722">
        <w:rPr>
          <w:rFonts w:ascii="Times New Roman" w:hAnsi="Times New Roman" w:cs="Times New Roman"/>
        </w:rPr>
        <w:t>Cena akcji z modelu wzrostu dywidendy = (36 * 1,045) / (0.12 – 0.045) = 502c = 5,02$</w:t>
      </w:r>
    </w:p>
    <w:p w:rsidR="00E93722" w:rsidRPr="00E93722" w:rsidRDefault="00E93722" w:rsidP="00E93722">
      <w:pPr>
        <w:pStyle w:val="ListParagraph"/>
        <w:spacing w:after="0" w:line="240" w:lineRule="auto"/>
        <w:ind w:left="0"/>
        <w:jc w:val="both"/>
        <w:rPr>
          <w:rFonts w:ascii="Times New Roman" w:hAnsi="Times New Roman" w:cs="Times New Roman"/>
        </w:rPr>
      </w:pPr>
      <w:r w:rsidRPr="00E93722">
        <w:rPr>
          <w:rFonts w:ascii="Times New Roman" w:hAnsi="Times New Roman" w:cs="Times New Roman"/>
        </w:rPr>
        <w:t>Wartość NGN = 5,02 * 10 mln = 50,2 mln $</w:t>
      </w:r>
    </w:p>
    <w:p w:rsidR="00E93722" w:rsidRPr="00E93722" w:rsidRDefault="00E93722" w:rsidP="00E93722">
      <w:pPr>
        <w:pStyle w:val="ListParagraph"/>
        <w:spacing w:after="0" w:line="240" w:lineRule="auto"/>
        <w:ind w:left="0"/>
        <w:jc w:val="both"/>
        <w:rPr>
          <w:rFonts w:ascii="Times New Roman" w:hAnsi="Times New Roman" w:cs="Times New Roman"/>
        </w:rPr>
      </w:pPr>
    </w:p>
    <w:p w:rsidR="00E93722" w:rsidRPr="00E93722" w:rsidRDefault="00E93722" w:rsidP="00E93722">
      <w:pPr>
        <w:pStyle w:val="ListParagraph"/>
        <w:numPr>
          <w:ilvl w:val="0"/>
          <w:numId w:val="21"/>
        </w:numPr>
        <w:spacing w:after="0" w:line="240" w:lineRule="auto"/>
        <w:jc w:val="both"/>
        <w:rPr>
          <w:rFonts w:ascii="Times New Roman" w:hAnsi="Times New Roman" w:cs="Times New Roman"/>
        </w:rPr>
      </w:pPr>
    </w:p>
    <w:p w:rsidR="00E93722" w:rsidRPr="00E93722" w:rsidRDefault="00E93722" w:rsidP="00E93722">
      <w:pPr>
        <w:pStyle w:val="ListParagraph"/>
        <w:spacing w:after="0" w:line="240" w:lineRule="auto"/>
        <w:ind w:left="0"/>
        <w:jc w:val="both"/>
        <w:rPr>
          <w:rFonts w:ascii="Times New Roman" w:hAnsi="Times New Roman" w:cs="Times New Roman"/>
        </w:rPr>
      </w:pPr>
      <w:r w:rsidRPr="00E93722">
        <w:rPr>
          <w:rFonts w:ascii="Times New Roman" w:hAnsi="Times New Roman" w:cs="Times New Roman"/>
        </w:rPr>
        <w:tab/>
        <w:t>Przy ocenie czy dług jest dobrym sposobem finansowania kupna NGN ważne jest aby wziąć pod uwagę strukturę kapitału aktualnie oraz po zakupie NGN, a także jak wiele długu potrzebne by było do przeprowadzenia tej transakcji.</w:t>
      </w:r>
    </w:p>
    <w:p w:rsidR="00E93722" w:rsidRPr="00E93722" w:rsidRDefault="00E93722" w:rsidP="00E93722">
      <w:pPr>
        <w:pStyle w:val="ListParagraph"/>
        <w:spacing w:after="0" w:line="240" w:lineRule="auto"/>
        <w:ind w:left="0"/>
        <w:jc w:val="both"/>
        <w:rPr>
          <w:rFonts w:ascii="Times New Roman" w:hAnsi="Times New Roman" w:cs="Times New Roman"/>
        </w:rPr>
      </w:pPr>
      <w:r w:rsidRPr="00E93722">
        <w:rPr>
          <w:rFonts w:ascii="Times New Roman" w:hAnsi="Times New Roman" w:cs="Times New Roman"/>
        </w:rPr>
        <w:lastRenderedPageBreak/>
        <w:t>Wcześniejsze obliczenia sugerowały, że będzie potrzebne przynajmniej 58 mln $ z pominięciem premii dla posiadaczy akcji NGN, aby sprzedali oni swoje akcje. Aktualny stosunek długu do kapitału wynosi 60% (15mln/25mln). Dług spółki wzrósłby o 58 mln$ przy zakupie oraz o kolejne 20$ po nim w związku z aktualnym długiem NGN, tj. 93mln $ łącznie. Pomijając wszystkie inne czynniki, stosunek długu do kapitału wzrósłby do 372% (93mln$ / 25mln$).</w:t>
      </w:r>
    </w:p>
    <w:p w:rsidR="00E93722" w:rsidRPr="00E93722" w:rsidRDefault="00E93722" w:rsidP="00E93722">
      <w:pPr>
        <w:pStyle w:val="ListParagraph"/>
        <w:spacing w:after="0" w:line="240" w:lineRule="auto"/>
        <w:ind w:left="0"/>
        <w:jc w:val="both"/>
        <w:rPr>
          <w:rFonts w:ascii="Times New Roman" w:hAnsi="Times New Roman" w:cs="Times New Roman"/>
        </w:rPr>
      </w:pPr>
      <w:r w:rsidRPr="00E93722">
        <w:rPr>
          <w:rFonts w:ascii="Times New Roman" w:hAnsi="Times New Roman" w:cs="Times New Roman"/>
        </w:rPr>
        <w:t xml:space="preserve">KFP Co  musiałoby przyjąć odpowiednią strategię zarządzania przy taki wysokim długu i związanym z nim poziomem zagrożenia. </w:t>
      </w:r>
    </w:p>
    <w:p w:rsidR="00E93722" w:rsidRPr="00E93722" w:rsidRDefault="00E93722" w:rsidP="00E93722">
      <w:pPr>
        <w:pStyle w:val="ListParagraph"/>
        <w:spacing w:after="0" w:line="240" w:lineRule="auto"/>
        <w:ind w:left="0"/>
        <w:jc w:val="both"/>
        <w:rPr>
          <w:rFonts w:ascii="Times New Roman" w:hAnsi="Times New Roman" w:cs="Times New Roman"/>
        </w:rPr>
      </w:pPr>
      <w:r w:rsidRPr="00E93722">
        <w:rPr>
          <w:rFonts w:ascii="Times New Roman" w:hAnsi="Times New Roman" w:cs="Times New Roman"/>
        </w:rPr>
        <w:t>Ważne jest także uwzględnienie czy ewentualne zyski wynikające z przejęcia NGN zrekompensują zagrożenie bankructwem wynikające ze zwiększenia długu.</w:t>
      </w:r>
    </w:p>
    <w:p w:rsidR="00E93722" w:rsidRPr="00E93722" w:rsidRDefault="00E93722" w:rsidP="00E93722">
      <w:pPr>
        <w:spacing w:after="0" w:line="240" w:lineRule="auto"/>
        <w:jc w:val="both"/>
        <w:rPr>
          <w:rFonts w:ascii="Times New Roman" w:hAnsi="Times New Roman" w:cs="Times New Roman"/>
        </w:rPr>
      </w:pPr>
    </w:p>
    <w:p w:rsidR="00E93722" w:rsidRPr="00E93722" w:rsidRDefault="00E93722" w:rsidP="00E93722">
      <w:pPr>
        <w:spacing w:after="0" w:line="240" w:lineRule="auto"/>
        <w:jc w:val="both"/>
        <w:rPr>
          <w:rFonts w:ascii="Times New Roman" w:hAnsi="Times New Roman" w:cs="Times New Roman"/>
        </w:rPr>
      </w:pPr>
    </w:p>
    <w:sectPr w:rsidR="00E93722" w:rsidRPr="00E93722" w:rsidSect="00E07D5F">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0BC4" w:rsidRDefault="00120BC4" w:rsidP="00055B76">
      <w:pPr>
        <w:spacing w:after="0" w:line="240" w:lineRule="auto"/>
      </w:pPr>
      <w:r>
        <w:separator/>
      </w:r>
    </w:p>
  </w:endnote>
  <w:endnote w:type="continuationSeparator" w:id="0">
    <w:p w:rsidR="00120BC4" w:rsidRDefault="00120BC4" w:rsidP="00055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10002FF" w:usb1="4000ACFF" w:usb2="00000009" w:usb3="00000000" w:csb0="0000019F" w:csb1="00000000"/>
  </w:font>
  <w:font w:name="Calibri Light">
    <w:panose1 w:val="020F0302020204030204"/>
    <w:charset w:val="EE"/>
    <w:family w:val="swiss"/>
    <w:pitch w:val="variable"/>
    <w:sig w:usb0="A00002EF" w:usb1="4000207B" w:usb2="00000000" w:usb3="00000000" w:csb0="000001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1321323"/>
      <w:docPartObj>
        <w:docPartGallery w:val="Page Numbers (Bottom of Page)"/>
        <w:docPartUnique/>
      </w:docPartObj>
    </w:sdtPr>
    <w:sdtEndPr>
      <w:rPr>
        <w:noProof/>
      </w:rPr>
    </w:sdtEndPr>
    <w:sdtContent>
      <w:p w:rsidR="00055B76" w:rsidRDefault="00055B76">
        <w:pPr>
          <w:pStyle w:val="Footer"/>
          <w:jc w:val="right"/>
        </w:pPr>
        <w:r>
          <w:fldChar w:fldCharType="begin"/>
        </w:r>
        <w:r>
          <w:instrText xml:space="preserve"> PAGE   \* MERGEFORMAT </w:instrText>
        </w:r>
        <w:r>
          <w:fldChar w:fldCharType="separate"/>
        </w:r>
        <w:r w:rsidR="001B3DBC">
          <w:rPr>
            <w:noProof/>
          </w:rPr>
          <w:t>17</w:t>
        </w:r>
        <w:r>
          <w:rPr>
            <w:noProof/>
          </w:rPr>
          <w:fldChar w:fldCharType="end"/>
        </w:r>
      </w:p>
    </w:sdtContent>
  </w:sdt>
  <w:p w:rsidR="00055B76" w:rsidRDefault="00055B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0BC4" w:rsidRDefault="00120BC4" w:rsidP="00055B76">
      <w:pPr>
        <w:spacing w:after="0" w:line="240" w:lineRule="auto"/>
      </w:pPr>
      <w:r>
        <w:separator/>
      </w:r>
    </w:p>
  </w:footnote>
  <w:footnote w:type="continuationSeparator" w:id="0">
    <w:p w:rsidR="00120BC4" w:rsidRDefault="00120BC4" w:rsidP="00055B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31C75"/>
    <w:multiLevelType w:val="hybridMultilevel"/>
    <w:tmpl w:val="DD5A77BC"/>
    <w:lvl w:ilvl="0" w:tplc="0415000F">
      <w:start w:val="1"/>
      <w:numFmt w:val="decimal"/>
      <w:lvlText w:val="%1."/>
      <w:lvlJc w:val="left"/>
      <w:pPr>
        <w:ind w:left="720" w:hanging="360"/>
      </w:pPr>
      <w:rPr>
        <w:rFonts w:hint="default"/>
      </w:rPr>
    </w:lvl>
    <w:lvl w:ilvl="1" w:tplc="04150013">
      <w:start w:val="1"/>
      <w:numFmt w:val="upperRoman"/>
      <w:lvlText w:val="%2."/>
      <w:lvlJc w:val="right"/>
      <w:pPr>
        <w:ind w:left="1440" w:hanging="360"/>
      </w:pPr>
    </w:lvl>
    <w:lvl w:ilvl="2" w:tplc="E522E3EC">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C51613"/>
    <w:multiLevelType w:val="hybridMultilevel"/>
    <w:tmpl w:val="88860D98"/>
    <w:lvl w:ilvl="0" w:tplc="B784B5A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AB27DFE"/>
    <w:multiLevelType w:val="multilevel"/>
    <w:tmpl w:val="856AC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CC55A8"/>
    <w:multiLevelType w:val="hybridMultilevel"/>
    <w:tmpl w:val="2DB851CA"/>
    <w:lvl w:ilvl="0" w:tplc="221021D0">
      <w:start w:val="1"/>
      <w:numFmt w:val="decimal"/>
      <w:lvlText w:val="%1."/>
      <w:lvlJc w:val="left"/>
      <w:pPr>
        <w:ind w:left="720" w:hanging="360"/>
      </w:pPr>
      <w:rPr>
        <w:rFonts w:ascii="Century Gothic" w:hAnsi="Century Gothic"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4F4729"/>
    <w:multiLevelType w:val="multilevel"/>
    <w:tmpl w:val="46B03E76"/>
    <w:lvl w:ilvl="0">
      <w:start w:val="1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462C96"/>
    <w:multiLevelType w:val="multilevel"/>
    <w:tmpl w:val="51AC8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232F4F"/>
    <w:multiLevelType w:val="multilevel"/>
    <w:tmpl w:val="BC56D6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C87C5E"/>
    <w:multiLevelType w:val="multilevel"/>
    <w:tmpl w:val="F574F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415361"/>
    <w:multiLevelType w:val="hybridMultilevel"/>
    <w:tmpl w:val="B71C2BDE"/>
    <w:lvl w:ilvl="0" w:tplc="65A4D2A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1500B50"/>
    <w:multiLevelType w:val="hybridMultilevel"/>
    <w:tmpl w:val="9FE812F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8485F77"/>
    <w:multiLevelType w:val="multilevel"/>
    <w:tmpl w:val="6B2E2B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056302"/>
    <w:multiLevelType w:val="hybridMultilevel"/>
    <w:tmpl w:val="4CEED5C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BF31526"/>
    <w:multiLevelType w:val="hybridMultilevel"/>
    <w:tmpl w:val="099603C6"/>
    <w:lvl w:ilvl="0" w:tplc="0415000F">
      <w:start w:val="1"/>
      <w:numFmt w:val="decimal"/>
      <w:lvlText w:val="%1."/>
      <w:lvlJc w:val="left"/>
      <w:pPr>
        <w:ind w:left="720" w:hanging="360"/>
      </w:pPr>
      <w:rPr>
        <w:rFonts w:hint="default"/>
      </w:rPr>
    </w:lvl>
    <w:lvl w:ilvl="1" w:tplc="04150013">
      <w:start w:val="1"/>
      <w:numFmt w:val="upperRoman"/>
      <w:lvlText w:val="%2."/>
      <w:lvlJc w:val="righ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D6809D8"/>
    <w:multiLevelType w:val="hybridMultilevel"/>
    <w:tmpl w:val="479452BA"/>
    <w:lvl w:ilvl="0" w:tplc="3F5877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0A66BC4"/>
    <w:multiLevelType w:val="multilevel"/>
    <w:tmpl w:val="2916AEDA"/>
    <w:lvl w:ilvl="0">
      <w:start w:val="1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E99098C"/>
    <w:multiLevelType w:val="multilevel"/>
    <w:tmpl w:val="ED5A38A6"/>
    <w:lvl w:ilvl="0">
      <w:start w:val="1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293D24"/>
    <w:multiLevelType w:val="hybridMultilevel"/>
    <w:tmpl w:val="8EFAB84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FF043A5"/>
    <w:multiLevelType w:val="multilevel"/>
    <w:tmpl w:val="80DC0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78C3602"/>
    <w:multiLevelType w:val="multilevel"/>
    <w:tmpl w:val="6DF6CE96"/>
    <w:lvl w:ilvl="0">
      <w:start w:val="1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6706D7A"/>
    <w:multiLevelType w:val="multilevel"/>
    <w:tmpl w:val="8202E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F41257"/>
    <w:multiLevelType w:val="multilevel"/>
    <w:tmpl w:val="7C706256"/>
    <w:lvl w:ilvl="0">
      <w:start w:val="1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lvlOverride w:ilvl="0">
      <w:lvl w:ilvl="0">
        <w:numFmt w:val="decimal"/>
        <w:lvlText w:val="%1."/>
        <w:lvlJc w:val="left"/>
      </w:lvl>
    </w:lvlOverride>
  </w:num>
  <w:num w:numId="2">
    <w:abstractNumId w:val="6"/>
  </w:num>
  <w:num w:numId="3">
    <w:abstractNumId w:val="10"/>
    <w:lvlOverride w:ilvl="1">
      <w:lvl w:ilvl="1">
        <w:numFmt w:val="lowerLetter"/>
        <w:lvlText w:val="%2."/>
        <w:lvlJc w:val="left"/>
      </w:lvl>
    </w:lvlOverride>
  </w:num>
  <w:num w:numId="4">
    <w:abstractNumId w:val="18"/>
    <w:lvlOverride w:ilvl="0">
      <w:lvl w:ilvl="0">
        <w:numFmt w:val="decimal"/>
        <w:lvlText w:val="%1."/>
        <w:lvlJc w:val="left"/>
      </w:lvl>
    </w:lvlOverride>
  </w:num>
  <w:num w:numId="5">
    <w:abstractNumId w:val="19"/>
    <w:lvlOverride w:ilvl="0">
      <w:lvl w:ilvl="0">
        <w:numFmt w:val="lowerLetter"/>
        <w:lvlText w:val="%1."/>
        <w:lvlJc w:val="left"/>
      </w:lvl>
    </w:lvlOverride>
  </w:num>
  <w:num w:numId="6">
    <w:abstractNumId w:val="20"/>
    <w:lvlOverride w:ilvl="0">
      <w:lvl w:ilvl="0">
        <w:numFmt w:val="decimal"/>
        <w:lvlText w:val="%1."/>
        <w:lvlJc w:val="left"/>
      </w:lvl>
    </w:lvlOverride>
  </w:num>
  <w:num w:numId="7">
    <w:abstractNumId w:val="2"/>
    <w:lvlOverride w:ilvl="0">
      <w:lvl w:ilvl="0">
        <w:numFmt w:val="lowerLetter"/>
        <w:lvlText w:val="%1."/>
        <w:lvlJc w:val="left"/>
      </w:lvl>
    </w:lvlOverride>
  </w:num>
  <w:num w:numId="8">
    <w:abstractNumId w:val="4"/>
    <w:lvlOverride w:ilvl="0">
      <w:lvl w:ilvl="0">
        <w:numFmt w:val="decimal"/>
        <w:lvlText w:val="%1."/>
        <w:lvlJc w:val="left"/>
      </w:lvl>
    </w:lvlOverride>
  </w:num>
  <w:num w:numId="9">
    <w:abstractNumId w:val="17"/>
    <w:lvlOverride w:ilvl="0">
      <w:lvl w:ilvl="0">
        <w:numFmt w:val="lowerLetter"/>
        <w:lvlText w:val="%1."/>
        <w:lvlJc w:val="left"/>
      </w:lvl>
    </w:lvlOverride>
  </w:num>
  <w:num w:numId="10">
    <w:abstractNumId w:val="15"/>
    <w:lvlOverride w:ilvl="0">
      <w:lvl w:ilvl="0">
        <w:numFmt w:val="decimal"/>
        <w:lvlText w:val="%1."/>
        <w:lvlJc w:val="left"/>
      </w:lvl>
    </w:lvlOverride>
  </w:num>
  <w:num w:numId="11">
    <w:abstractNumId w:val="8"/>
  </w:num>
  <w:num w:numId="12">
    <w:abstractNumId w:val="0"/>
  </w:num>
  <w:num w:numId="13">
    <w:abstractNumId w:val="12"/>
  </w:num>
  <w:num w:numId="14">
    <w:abstractNumId w:val="13"/>
  </w:num>
  <w:num w:numId="15">
    <w:abstractNumId w:val="3"/>
  </w:num>
  <w:num w:numId="16">
    <w:abstractNumId w:val="1"/>
  </w:num>
  <w:num w:numId="17">
    <w:abstractNumId w:val="11"/>
  </w:num>
  <w:num w:numId="18">
    <w:abstractNumId w:val="5"/>
    <w:lvlOverride w:ilvl="0">
      <w:lvl w:ilvl="0">
        <w:numFmt w:val="upperLetter"/>
        <w:lvlText w:val="%1."/>
        <w:lvlJc w:val="left"/>
      </w:lvl>
    </w:lvlOverride>
  </w:num>
  <w:num w:numId="19">
    <w:abstractNumId w:val="7"/>
    <w:lvlOverride w:ilvl="0">
      <w:lvl w:ilvl="0">
        <w:numFmt w:val="upperLetter"/>
        <w:lvlText w:val="%1."/>
        <w:lvlJc w:val="left"/>
      </w:lvl>
    </w:lvlOverride>
  </w:num>
  <w:num w:numId="20">
    <w:abstractNumId w:val="16"/>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B76"/>
    <w:rsid w:val="000540D9"/>
    <w:rsid w:val="00055B76"/>
    <w:rsid w:val="000E2146"/>
    <w:rsid w:val="00120BC4"/>
    <w:rsid w:val="0018464C"/>
    <w:rsid w:val="001B3DBC"/>
    <w:rsid w:val="002B2FE0"/>
    <w:rsid w:val="003321E2"/>
    <w:rsid w:val="003747C5"/>
    <w:rsid w:val="003B176D"/>
    <w:rsid w:val="00403C52"/>
    <w:rsid w:val="00443DE9"/>
    <w:rsid w:val="00566DD8"/>
    <w:rsid w:val="00585205"/>
    <w:rsid w:val="005B447D"/>
    <w:rsid w:val="005B5C51"/>
    <w:rsid w:val="005E7213"/>
    <w:rsid w:val="007656A9"/>
    <w:rsid w:val="007754D4"/>
    <w:rsid w:val="007A5F97"/>
    <w:rsid w:val="00844505"/>
    <w:rsid w:val="009207A6"/>
    <w:rsid w:val="009B20F5"/>
    <w:rsid w:val="009E6E99"/>
    <w:rsid w:val="00A22BE3"/>
    <w:rsid w:val="00A609E3"/>
    <w:rsid w:val="00CA7064"/>
    <w:rsid w:val="00CD63F5"/>
    <w:rsid w:val="00D70BEB"/>
    <w:rsid w:val="00E07D5F"/>
    <w:rsid w:val="00E73E43"/>
    <w:rsid w:val="00E93722"/>
    <w:rsid w:val="00F43E10"/>
    <w:rsid w:val="00F75C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DE09E0-6716-4B94-959D-FAEB26C47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66D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66D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66DD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566DD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55B7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Header">
    <w:name w:val="header"/>
    <w:basedOn w:val="Normal"/>
    <w:link w:val="HeaderChar"/>
    <w:uiPriority w:val="99"/>
    <w:unhideWhenUsed/>
    <w:rsid w:val="00055B76"/>
    <w:pPr>
      <w:tabs>
        <w:tab w:val="center" w:pos="4536"/>
        <w:tab w:val="right" w:pos="9072"/>
      </w:tabs>
      <w:spacing w:after="0" w:line="240" w:lineRule="auto"/>
    </w:pPr>
  </w:style>
  <w:style w:type="character" w:customStyle="1" w:styleId="HeaderChar">
    <w:name w:val="Header Char"/>
    <w:basedOn w:val="DefaultParagraphFont"/>
    <w:link w:val="Header"/>
    <w:uiPriority w:val="99"/>
    <w:rsid w:val="00055B76"/>
  </w:style>
  <w:style w:type="paragraph" w:styleId="Footer">
    <w:name w:val="footer"/>
    <w:basedOn w:val="Normal"/>
    <w:link w:val="FooterChar"/>
    <w:uiPriority w:val="99"/>
    <w:unhideWhenUsed/>
    <w:rsid w:val="00055B76"/>
    <w:pPr>
      <w:tabs>
        <w:tab w:val="center" w:pos="4536"/>
        <w:tab w:val="right" w:pos="9072"/>
      </w:tabs>
      <w:spacing w:after="0" w:line="240" w:lineRule="auto"/>
    </w:pPr>
  </w:style>
  <w:style w:type="character" w:customStyle="1" w:styleId="FooterChar">
    <w:name w:val="Footer Char"/>
    <w:basedOn w:val="DefaultParagraphFont"/>
    <w:link w:val="Footer"/>
    <w:uiPriority w:val="99"/>
    <w:rsid w:val="00055B76"/>
  </w:style>
  <w:style w:type="paragraph" w:styleId="ListParagraph">
    <w:name w:val="List Paragraph"/>
    <w:basedOn w:val="Normal"/>
    <w:uiPriority w:val="34"/>
    <w:qFormat/>
    <w:rsid w:val="00E07D5F"/>
    <w:pPr>
      <w:ind w:left="720"/>
      <w:contextualSpacing/>
    </w:pPr>
  </w:style>
  <w:style w:type="character" w:styleId="Hyperlink">
    <w:name w:val="Hyperlink"/>
    <w:basedOn w:val="DefaultParagraphFont"/>
    <w:uiPriority w:val="99"/>
    <w:semiHidden/>
    <w:unhideWhenUsed/>
    <w:rsid w:val="00E07D5F"/>
    <w:rPr>
      <w:color w:val="0000FF"/>
      <w:u w:val="single"/>
    </w:rPr>
  </w:style>
  <w:style w:type="character" w:customStyle="1" w:styleId="needref">
    <w:name w:val="need_ref"/>
    <w:basedOn w:val="DefaultParagraphFont"/>
    <w:rsid w:val="00E07D5F"/>
  </w:style>
  <w:style w:type="character" w:customStyle="1" w:styleId="st">
    <w:name w:val="st"/>
    <w:basedOn w:val="DefaultParagraphFont"/>
    <w:rsid w:val="000540D9"/>
  </w:style>
  <w:style w:type="table" w:styleId="TableGrid">
    <w:name w:val="Table Grid"/>
    <w:basedOn w:val="TableNormal"/>
    <w:uiPriority w:val="59"/>
    <w:rsid w:val="002B2F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66DD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66DD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66DD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566DD8"/>
    <w:rPr>
      <w:rFonts w:asciiTheme="majorHAnsi" w:eastAsiaTheme="majorEastAsia" w:hAnsiTheme="majorHAnsi" w:cstheme="majorBidi"/>
      <w:i/>
      <w:iCs/>
      <w:color w:val="2E74B5" w:themeColor="accent1" w:themeShade="BF"/>
    </w:rPr>
  </w:style>
  <w:style w:type="paragraph" w:styleId="List">
    <w:name w:val="List"/>
    <w:basedOn w:val="Normal"/>
    <w:uiPriority w:val="99"/>
    <w:unhideWhenUsed/>
    <w:rsid w:val="00566DD8"/>
    <w:pPr>
      <w:ind w:left="283" w:hanging="283"/>
      <w:contextualSpacing/>
    </w:pPr>
  </w:style>
  <w:style w:type="paragraph" w:styleId="BodyText">
    <w:name w:val="Body Text"/>
    <w:basedOn w:val="Normal"/>
    <w:link w:val="BodyTextChar"/>
    <w:uiPriority w:val="99"/>
    <w:unhideWhenUsed/>
    <w:rsid w:val="00566DD8"/>
    <w:pPr>
      <w:spacing w:after="120"/>
    </w:pPr>
  </w:style>
  <w:style w:type="character" w:customStyle="1" w:styleId="BodyTextChar">
    <w:name w:val="Body Text Char"/>
    <w:basedOn w:val="DefaultParagraphFont"/>
    <w:link w:val="BodyText"/>
    <w:uiPriority w:val="99"/>
    <w:rsid w:val="00566DD8"/>
  </w:style>
  <w:style w:type="paragraph" w:styleId="BodyTextFirstIndent">
    <w:name w:val="Body Text First Indent"/>
    <w:basedOn w:val="BodyText"/>
    <w:link w:val="BodyTextFirstIndentChar"/>
    <w:uiPriority w:val="99"/>
    <w:unhideWhenUsed/>
    <w:rsid w:val="00566DD8"/>
    <w:pPr>
      <w:spacing w:after="160"/>
      <w:ind w:firstLine="360"/>
    </w:pPr>
  </w:style>
  <w:style w:type="character" w:customStyle="1" w:styleId="BodyTextFirstIndentChar">
    <w:name w:val="Body Text First Indent Char"/>
    <w:basedOn w:val="BodyTextChar"/>
    <w:link w:val="BodyTextFirstIndent"/>
    <w:uiPriority w:val="99"/>
    <w:rsid w:val="00566D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8644959">
      <w:bodyDiv w:val="1"/>
      <w:marLeft w:val="0"/>
      <w:marRight w:val="0"/>
      <w:marTop w:val="0"/>
      <w:marBottom w:val="0"/>
      <w:divBdr>
        <w:top w:val="none" w:sz="0" w:space="0" w:color="auto"/>
        <w:left w:val="none" w:sz="0" w:space="0" w:color="auto"/>
        <w:bottom w:val="none" w:sz="0" w:space="0" w:color="auto"/>
        <w:right w:val="none" w:sz="0" w:space="0" w:color="auto"/>
      </w:divBdr>
      <w:divsChild>
        <w:div w:id="1767192070">
          <w:marLeft w:val="605"/>
          <w:marRight w:val="0"/>
          <w:marTop w:val="0"/>
          <w:marBottom w:val="0"/>
          <w:divBdr>
            <w:top w:val="none" w:sz="0" w:space="0" w:color="auto"/>
            <w:left w:val="none" w:sz="0" w:space="0" w:color="auto"/>
            <w:bottom w:val="none" w:sz="0" w:space="0" w:color="auto"/>
            <w:right w:val="none" w:sz="0" w:space="0" w:color="auto"/>
          </w:divBdr>
        </w:div>
        <w:div w:id="75128165">
          <w:marLeft w:val="0"/>
          <w:marRight w:val="0"/>
          <w:marTop w:val="0"/>
          <w:marBottom w:val="0"/>
          <w:divBdr>
            <w:top w:val="none" w:sz="0" w:space="0" w:color="auto"/>
            <w:left w:val="none" w:sz="0" w:space="0" w:color="auto"/>
            <w:bottom w:val="none" w:sz="0" w:space="0" w:color="auto"/>
            <w:right w:val="none" w:sz="0" w:space="0" w:color="auto"/>
          </w:divBdr>
        </w:div>
      </w:divsChild>
    </w:div>
    <w:div w:id="1143734551">
      <w:bodyDiv w:val="1"/>
      <w:marLeft w:val="0"/>
      <w:marRight w:val="0"/>
      <w:marTop w:val="0"/>
      <w:marBottom w:val="0"/>
      <w:divBdr>
        <w:top w:val="none" w:sz="0" w:space="0" w:color="auto"/>
        <w:left w:val="none" w:sz="0" w:space="0" w:color="auto"/>
        <w:bottom w:val="none" w:sz="0" w:space="0" w:color="auto"/>
        <w:right w:val="none" w:sz="0" w:space="0" w:color="auto"/>
      </w:divBdr>
      <w:divsChild>
        <w:div w:id="1915431232">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l.pons.com/t%C5%82umaczenie/polski-angielski/spekulacj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l.pons.com/t%C5%82umaczenie/polski-angielski/u%C5%BCyciu" TargetMode="External"/><Relationship Id="rId5" Type="http://schemas.openxmlformats.org/officeDocument/2006/relationships/footnotes" Target="footnotes.xml"/><Relationship Id="rId10" Type="http://schemas.openxmlformats.org/officeDocument/2006/relationships/hyperlink" Target="http://pl.pons.com/t%C5%82umaczenie/polski-angielski/przy" TargetMode="External"/><Relationship Id="rId4" Type="http://schemas.openxmlformats.org/officeDocument/2006/relationships/webSettings" Target="webSettings.xml"/><Relationship Id="rId9" Type="http://schemas.openxmlformats.org/officeDocument/2006/relationships/hyperlink" Target="http://pl.pons.com/t%C5%82umaczenie/polski-angielski/akcjam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17</Pages>
  <Words>7519</Words>
  <Characters>45120</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Wyrobek</dc:creator>
  <cp:keywords/>
  <dc:description/>
  <cp:lastModifiedBy>Joanna Wyrobek</cp:lastModifiedBy>
  <cp:revision>28</cp:revision>
  <dcterms:created xsi:type="dcterms:W3CDTF">2017-12-01T23:17:00Z</dcterms:created>
  <dcterms:modified xsi:type="dcterms:W3CDTF">2017-12-13T22:09:00Z</dcterms:modified>
</cp:coreProperties>
</file>