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6B" w:rsidRPr="003566C4" w:rsidRDefault="00925B02" w:rsidP="001679C9">
      <w:pPr>
        <w:pStyle w:val="r31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66C4">
        <w:rPr>
          <w:rFonts w:ascii="Times New Roman" w:hAnsi="Times New Roman" w:cs="Times New Roman"/>
          <w:sz w:val="28"/>
          <w:szCs w:val="28"/>
        </w:rPr>
        <w:t>ZAKOŃCZENIE, UMORZENIE I UCHYLENIE</w:t>
      </w:r>
      <w:r w:rsidRPr="003566C4">
        <w:rPr>
          <w:rFonts w:ascii="Times New Roman" w:hAnsi="Times New Roman" w:cs="Times New Roman"/>
          <w:sz w:val="28"/>
          <w:szCs w:val="28"/>
        </w:rPr>
        <w:br/>
        <w:t>POSTĘPOWANIA UPADŁOŚCIOWEGO</w:t>
      </w:r>
    </w:p>
    <w:p w:rsidR="00BE226B" w:rsidRPr="001A1B77" w:rsidRDefault="00BE226B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527BDD" w:rsidRPr="001A1B77" w:rsidRDefault="00BD1F7E" w:rsidP="001A1B77">
      <w:pPr>
        <w:pStyle w:val="tekstglowny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w w:val="100"/>
          <w:sz w:val="24"/>
          <w:szCs w:val="24"/>
        </w:rPr>
      </w:pPr>
      <w:r>
        <w:rPr>
          <w:rFonts w:ascii="Times New Roman" w:hAnsi="Times New Roman" w:cs="Times New Roman"/>
          <w:b/>
          <w:w w:val="100"/>
          <w:sz w:val="24"/>
          <w:szCs w:val="24"/>
        </w:rPr>
        <w:t>Wprowadzenie</w:t>
      </w:r>
    </w:p>
    <w:p w:rsidR="00925B02" w:rsidRPr="001A1B77" w:rsidRDefault="00925B02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527BDD" w:rsidRPr="001A1B77" w:rsidRDefault="00925B02" w:rsidP="001A1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77">
        <w:rPr>
          <w:rFonts w:ascii="Times New Roman" w:eastAsia="Calibri" w:hAnsi="Times New Roman" w:cs="Times New Roman"/>
          <w:sz w:val="24"/>
          <w:szCs w:val="24"/>
        </w:rPr>
        <w:t>Co do zasady p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>ostępowanie upadłościowe</w:t>
      </w:r>
      <w:r w:rsidRPr="001A1B77">
        <w:rPr>
          <w:rFonts w:ascii="Times New Roman" w:eastAsia="Calibri" w:hAnsi="Times New Roman" w:cs="Times New Roman"/>
          <w:sz w:val="24"/>
          <w:szCs w:val="24"/>
        </w:rPr>
        <w:t>, postrzegane jako egzekucja generalna,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B77">
        <w:rPr>
          <w:rFonts w:ascii="Times New Roman" w:eastAsia="Calibri" w:hAnsi="Times New Roman" w:cs="Times New Roman"/>
          <w:sz w:val="24"/>
          <w:szCs w:val="24"/>
        </w:rPr>
        <w:t>zmierza do likwidacji majątku upadłego – a zatem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spieniężenia tego majątku i rozdzi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elenia uzyskanych sum pomiędzy 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>wierzycieli upadłego</w:t>
      </w:r>
      <w:r w:rsidRPr="001A1B77">
        <w:rPr>
          <w:rFonts w:ascii="Times New Roman" w:eastAsia="Calibri" w:hAnsi="Times New Roman" w:cs="Times New Roman"/>
          <w:sz w:val="24"/>
          <w:szCs w:val="24"/>
        </w:rPr>
        <w:t>, zgodnie</w:t>
      </w:r>
      <w:r w:rsidR="00C85E36" w:rsidRPr="001A1B77">
        <w:rPr>
          <w:rFonts w:ascii="Times New Roman" w:eastAsia="Calibri" w:hAnsi="Times New Roman" w:cs="Times New Roman"/>
          <w:sz w:val="24"/>
          <w:szCs w:val="24"/>
        </w:rPr>
        <w:t xml:space="preserve"> z regulacjami PU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. Jego </w:t>
      </w:r>
      <w:r w:rsidR="00527BDD" w:rsidRPr="001A1B77">
        <w:rPr>
          <w:rFonts w:ascii="Times New Roman" w:eastAsia="Calibri" w:hAnsi="Times New Roman" w:cs="Times New Roman"/>
          <w:b/>
          <w:sz w:val="24"/>
          <w:szCs w:val="24"/>
        </w:rPr>
        <w:t>zakończenie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następuje zatem co do zasady, gdy w toku postępowania wszyscy wierzyciele upadłego zostali zaspokojeni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 (to raczej czysta teoria)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lub też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F7E">
        <w:rPr>
          <w:rFonts w:ascii="Times New Roman" w:eastAsia="Calibri" w:hAnsi="Times New Roman" w:cs="Times New Roman"/>
          <w:sz w:val="24"/>
          <w:szCs w:val="24"/>
        </w:rPr>
        <w:t xml:space="preserve">gdy 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>po likwidacji majątku u</w:t>
      </w:r>
      <w:r w:rsidR="00BD1F7E">
        <w:rPr>
          <w:rFonts w:ascii="Times New Roman" w:eastAsia="Calibri" w:hAnsi="Times New Roman" w:cs="Times New Roman"/>
          <w:sz w:val="24"/>
          <w:szCs w:val="24"/>
        </w:rPr>
        <w:t>padłego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wykonano ostateczny plan podziału. W ściśle określonych </w:t>
      </w:r>
      <w:r w:rsidR="00C85E36" w:rsidRPr="001A1B77">
        <w:rPr>
          <w:rFonts w:ascii="Times New Roman" w:eastAsia="Calibri" w:hAnsi="Times New Roman" w:cs="Times New Roman"/>
          <w:sz w:val="24"/>
          <w:szCs w:val="24"/>
        </w:rPr>
        <w:t>przepisami PU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przypadkach postępowanie upadłościowe może być jednak przez sąd upadłościowy </w:t>
      </w:r>
      <w:r w:rsidR="00527BDD" w:rsidRPr="001A1B77">
        <w:rPr>
          <w:rFonts w:ascii="Times New Roman" w:eastAsia="Calibri" w:hAnsi="Times New Roman" w:cs="Times New Roman"/>
          <w:b/>
          <w:sz w:val="24"/>
          <w:szCs w:val="24"/>
        </w:rPr>
        <w:t>umorzone</w:t>
      </w:r>
      <w:r w:rsidR="00527BDD" w:rsidRPr="001A1B77">
        <w:rPr>
          <w:rFonts w:ascii="Times New Roman" w:eastAsia="Calibri" w:hAnsi="Times New Roman" w:cs="Times New Roman"/>
          <w:sz w:val="24"/>
          <w:szCs w:val="24"/>
        </w:rPr>
        <w:t xml:space="preserve"> bez osiągnięcia swojego celu, a zatem bez pełnej likwidacji majątku upadłego i zaspokojenia z uzyskanych sum jego wierzycieli. </w:t>
      </w:r>
      <w:r w:rsidR="00C85E36" w:rsidRPr="001A1B77">
        <w:rPr>
          <w:rFonts w:ascii="Times New Roman" w:eastAsia="Calibri" w:hAnsi="Times New Roman" w:cs="Times New Roman"/>
          <w:sz w:val="24"/>
          <w:szCs w:val="24"/>
        </w:rPr>
        <w:t xml:space="preserve">Przepisy PU przewidują też w określonych przypadkach </w:t>
      </w:r>
      <w:r w:rsidR="00C85E36" w:rsidRPr="001A1B77">
        <w:rPr>
          <w:rFonts w:ascii="Times New Roman" w:eastAsia="Calibri" w:hAnsi="Times New Roman" w:cs="Times New Roman"/>
          <w:b/>
          <w:sz w:val="24"/>
          <w:szCs w:val="24"/>
        </w:rPr>
        <w:t>uchylenie</w:t>
      </w:r>
      <w:r w:rsidR="00370D23" w:rsidRPr="001A1B77">
        <w:rPr>
          <w:rFonts w:ascii="Times New Roman" w:eastAsia="Calibri" w:hAnsi="Times New Roman" w:cs="Times New Roman"/>
          <w:sz w:val="24"/>
          <w:szCs w:val="24"/>
        </w:rPr>
        <w:t xml:space="preserve"> postępowania upadłościowego</w:t>
      </w:r>
      <w:r w:rsidR="00C85E36" w:rsidRPr="001A1B77">
        <w:rPr>
          <w:rFonts w:ascii="Times New Roman" w:eastAsia="Calibri" w:hAnsi="Times New Roman" w:cs="Times New Roman"/>
          <w:sz w:val="24"/>
          <w:szCs w:val="24"/>
        </w:rPr>
        <w:t xml:space="preserve"> – co związane jest z tym, że dniem upadłości jest dzień wydania postanowienia o ogłoszeniu upadłości dłużnika, a nie dzień uprawomocnienia się tego postanowienia. </w:t>
      </w:r>
    </w:p>
    <w:p w:rsidR="00C85E36" w:rsidRPr="001A1B77" w:rsidRDefault="00C85E36" w:rsidP="001A1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E36" w:rsidRPr="001A1B77" w:rsidRDefault="00370D23" w:rsidP="001A1B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1B77">
        <w:rPr>
          <w:rFonts w:ascii="Times New Roman" w:eastAsia="Calibri" w:hAnsi="Times New Roman" w:cs="Times New Roman"/>
          <w:b/>
          <w:sz w:val="24"/>
          <w:szCs w:val="24"/>
        </w:rPr>
        <w:t>Zakończenie postępowania upadłościowego</w:t>
      </w:r>
    </w:p>
    <w:p w:rsidR="00C85E36" w:rsidRPr="001A1B77" w:rsidRDefault="00C85E36" w:rsidP="001A1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D23" w:rsidRPr="001A1B77" w:rsidRDefault="003566C4" w:rsidP="001A1B77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3DAA" w:rsidRPr="001A1B77">
        <w:rPr>
          <w:rFonts w:ascii="Times New Roman" w:eastAsia="Calibri" w:hAnsi="Times New Roman" w:cs="Times New Roman"/>
          <w:b/>
          <w:sz w:val="24"/>
          <w:szCs w:val="24"/>
        </w:rPr>
        <w:t>Kwestie ogólne</w:t>
      </w:r>
    </w:p>
    <w:p w:rsidR="00370D23" w:rsidRPr="001A1B77" w:rsidRDefault="00370D23" w:rsidP="001A1B7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D23" w:rsidRPr="001A1B77" w:rsidRDefault="00370D23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Zakończenie postępowania upadłościowego następuje, jak zaznaczono, gdy w wyniku tego postępowania wszyscy wierzyciele upadłego zostali zaspokojeni lub też wykonano ostateczny plan podziału, a zatem dokonano likwidacji całości masy upadłości i podzielono wszystkie fundusze masy upadłości pomiędzy wierzycieli upadłego, chociażby nie wszyscy z nich zostali w całości zaspokojeni.</w:t>
      </w:r>
    </w:p>
    <w:p w:rsidR="00E879B4" w:rsidRPr="001A1B77" w:rsidRDefault="00370D23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Zakończenie postępowania upadłościowego stwierdza sąd upadłościowy w drodze postanowienia. </w:t>
      </w:r>
      <w:r w:rsidR="00463DAA" w:rsidRPr="001A1B77">
        <w:rPr>
          <w:rFonts w:ascii="Times New Roman" w:hAnsi="Times New Roman" w:cs="Times New Roman"/>
          <w:w w:val="100"/>
          <w:sz w:val="24"/>
          <w:szCs w:val="24"/>
        </w:rPr>
        <w:t>Postanowienie sądu podlega obwieszczeniu.</w:t>
      </w:r>
    </w:p>
    <w:p w:rsidR="00370D23" w:rsidRPr="001A1B77" w:rsidRDefault="00370D23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W przypadku gdy upadły jest osobą prawną lub jednostką organizacyjną nie posiadającą osobowości prawnej ale posiadająca zdolność prawną, związane jest to z ich wykreśleniem z rejestru i utratą bytu prawnego. Tym samym, nawet w przypadku gdy 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nie wszyscy 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lastRenderedPageBreak/>
        <w:t>wierzyciele upadłego zostali zaspokojeni,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przestaje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istnieć podmiot będący dłużnikiem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>, choć wierzyciele ci mogą ewentualnie dochodzić niezaspokojonej części swoich roszczeń od osób ponoszących za zobowiązania upadłego odpowiedzialność subsydiarną</w:t>
      </w:r>
      <w:r w:rsidR="003566C4">
        <w:rPr>
          <w:rFonts w:ascii="Times New Roman" w:hAnsi="Times New Roman" w:cs="Times New Roman"/>
          <w:w w:val="100"/>
          <w:sz w:val="24"/>
          <w:szCs w:val="24"/>
        </w:rPr>
        <w:t>, gdy odpowiedzialność taką przewidują przepisy regulujące ustrój upadłej osoby prawnej lub jednostki organizacyjnej (por. przykładowo art. 299 KSH, art. 22 §2 KSH itd.)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. W przypadku osób fizycznych natomiast powstaje dylemat, czy 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 xml:space="preserve">osoba taka powinna 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nadal pozostawać obciążona całością zobowiązań niezaspokojonych w postępowaniu upadłościowym, co mogłoby wpływać negatywnie na jej gotowość do podjęcia zatrudnienia ewentualnie nowej działalności gospodarczej, </w:t>
      </w:r>
      <w:r w:rsidR="003566C4">
        <w:rPr>
          <w:rFonts w:ascii="Times New Roman" w:hAnsi="Times New Roman" w:cs="Times New Roman"/>
          <w:w w:val="100"/>
          <w:sz w:val="24"/>
          <w:szCs w:val="24"/>
        </w:rPr>
        <w:t>a przy tym nie jest wskazane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 ze  względów społecznych</w:t>
      </w:r>
      <w:r w:rsidR="00683D84" w:rsidRPr="001A1B77">
        <w:rPr>
          <w:rFonts w:ascii="Times New Roman" w:hAnsi="Times New Roman" w:cs="Times New Roman"/>
          <w:w w:val="100"/>
          <w:sz w:val="24"/>
          <w:szCs w:val="24"/>
        </w:rPr>
        <w:t xml:space="preserve"> i humanitarnych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>. Dl</w:t>
      </w:r>
      <w:r w:rsidR="003566C4">
        <w:rPr>
          <w:rFonts w:ascii="Times New Roman" w:hAnsi="Times New Roman" w:cs="Times New Roman"/>
          <w:w w:val="100"/>
          <w:sz w:val="24"/>
          <w:szCs w:val="24"/>
        </w:rPr>
        <w:t>atego też, zgodnie z widoczną w</w:t>
      </w:r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 wielu </w:t>
      </w:r>
      <w:proofErr w:type="spellStart"/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>ustawodawstwach</w:t>
      </w:r>
      <w:proofErr w:type="spellEnd"/>
      <w:r w:rsidR="00E879B4" w:rsidRPr="001A1B77">
        <w:rPr>
          <w:rFonts w:ascii="Times New Roman" w:hAnsi="Times New Roman" w:cs="Times New Roman"/>
          <w:w w:val="100"/>
          <w:sz w:val="24"/>
          <w:szCs w:val="24"/>
        </w:rPr>
        <w:t xml:space="preserve"> polityką „drugiej szansy” dla zadłużonych osób fizycznych (której </w:t>
      </w:r>
      <w:r w:rsidR="00B06FA2" w:rsidRPr="001A1B77">
        <w:rPr>
          <w:rFonts w:ascii="Times New Roman" w:hAnsi="Times New Roman" w:cs="Times New Roman"/>
          <w:w w:val="100"/>
          <w:sz w:val="24"/>
          <w:szCs w:val="24"/>
        </w:rPr>
        <w:t>najpełniejszym wyrazem jest wprowadzenie „upadłości konsumenckiej”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06FA2" w:rsidRPr="001A1B77">
        <w:rPr>
          <w:rFonts w:ascii="Times New Roman" w:hAnsi="Times New Roman" w:cs="Times New Roman"/>
          <w:w w:val="100"/>
          <w:sz w:val="24"/>
          <w:szCs w:val="24"/>
        </w:rPr>
        <w:t>jako odrębnego postępowania upadłościowego) przepisy PU zawierają szczególne regulacje dotyczące kwestii zakończenia postępowania upadłościowego, w przypadku gdy upadłym jest osoba fizyczna, mające umożliwić jej oddłużenie, poprze</w:t>
      </w:r>
      <w:r w:rsidR="00463DAA" w:rsidRPr="001A1B77">
        <w:rPr>
          <w:rFonts w:ascii="Times New Roman" w:hAnsi="Times New Roman" w:cs="Times New Roman"/>
          <w:w w:val="100"/>
          <w:sz w:val="24"/>
          <w:szCs w:val="24"/>
        </w:rPr>
        <w:t>z</w:t>
      </w:r>
      <w:r w:rsidR="00B06FA2" w:rsidRPr="001A1B77">
        <w:rPr>
          <w:rFonts w:ascii="Times New Roman" w:hAnsi="Times New Roman" w:cs="Times New Roman"/>
          <w:w w:val="100"/>
          <w:sz w:val="24"/>
          <w:szCs w:val="24"/>
        </w:rPr>
        <w:t xml:space="preserve"> umorzenie całości lub części </w:t>
      </w:r>
      <w:r w:rsidR="00463DAA" w:rsidRPr="001A1B77">
        <w:rPr>
          <w:rFonts w:ascii="Times New Roman" w:hAnsi="Times New Roman" w:cs="Times New Roman"/>
          <w:w w:val="100"/>
          <w:sz w:val="24"/>
          <w:szCs w:val="24"/>
        </w:rPr>
        <w:t xml:space="preserve">jej zobowiązań, </w:t>
      </w:r>
      <w:r w:rsidR="00B06FA2" w:rsidRPr="001A1B77">
        <w:rPr>
          <w:rFonts w:ascii="Times New Roman" w:hAnsi="Times New Roman" w:cs="Times New Roman"/>
          <w:w w:val="100"/>
          <w:sz w:val="24"/>
          <w:szCs w:val="24"/>
        </w:rPr>
        <w:t xml:space="preserve">pozostałych po zakończeniu postępowania upadłościowego. </w:t>
      </w:r>
    </w:p>
    <w:p w:rsidR="00463DAA" w:rsidRPr="001A1B77" w:rsidRDefault="00463DA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463DAA" w:rsidRPr="001A1B77" w:rsidRDefault="00463DAA" w:rsidP="001A1B77">
      <w:pPr>
        <w:pStyle w:val="tekstglowny"/>
        <w:spacing w:line="360" w:lineRule="auto"/>
        <w:ind w:left="567" w:hanging="567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b/>
          <w:w w:val="100"/>
          <w:sz w:val="24"/>
          <w:szCs w:val="24"/>
        </w:rPr>
        <w:t>2.2. Zakończenie ogólnego postępowania upadłościowego wobec osób fizycznych – plan spłaty, umorzenie zobowiązań</w:t>
      </w:r>
    </w:p>
    <w:p w:rsidR="00370D23" w:rsidRPr="001A1B77" w:rsidRDefault="00370D23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463DAA" w:rsidRPr="001A1B77" w:rsidRDefault="00463DA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Z mocy art. 369 ust. 1 i 1a PU w terminie trzydziestu dni od dnia obwieszczenia postanowienia o zakończeniu postępowania upadłościowego upadły będący osobą fizyczną może złożyć wniosek o:</w:t>
      </w:r>
    </w:p>
    <w:p w:rsidR="00463DAA" w:rsidRPr="001A1B77" w:rsidRDefault="00463DAA" w:rsidP="001A1B77">
      <w:pPr>
        <w:pStyle w:val="tekstglowny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ustalenie planu spłaty wierzycieli i umorzenie pozostałej części zobowiązań, które nie zostały zaspokojone w postępowaniu upadłościowym, bądź też o </w:t>
      </w:r>
    </w:p>
    <w:p w:rsidR="00463DAA" w:rsidRPr="001A1B77" w:rsidRDefault="00463DAA" w:rsidP="001A1B77">
      <w:pPr>
        <w:pStyle w:val="tekstglowny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umorzenie zobowiązań bez ustalenia planu spłaty wierzycieli, jeśli osobista sytuacja upadłego w oczywisty sposób wskazuje, że jest on trwale niezdolny do dokonywania jakichkolwiek spłat w ramach planu spłaty wierzycieli.</w:t>
      </w:r>
    </w:p>
    <w:p w:rsidR="00463DAA" w:rsidRPr="001A1B77" w:rsidRDefault="00463DA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DF3B1A" w:rsidRDefault="00463DA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Zarówno w jednym, jak i drugim przypadku sąd rozpoznaje wniosek upadłego na rozprawie, o której terminie zawiadamia się wierzycieli. Nie jest możliwe ustalenie planu spłaty lub umorzenie zobowiązań z urzędu, lub na wniosek innego podmiotu niż sam upadły będący osobą fizyczną.  </w:t>
      </w:r>
    </w:p>
    <w:p w:rsidR="003566C4" w:rsidRPr="001A1B77" w:rsidRDefault="003566C4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</w:p>
    <w:p w:rsidR="00DF3B1A" w:rsidRPr="001A1B77" w:rsidRDefault="00DF3B1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lastRenderedPageBreak/>
        <w:t>W obydwu przypadkach sąd oddala wniosek upadłego jeżeli:</w:t>
      </w:r>
    </w:p>
    <w:p w:rsidR="00DF3B1A" w:rsidRPr="001A1B77" w:rsidRDefault="00DF3B1A" w:rsidP="001A1B77">
      <w:pPr>
        <w:pStyle w:val="tekstglowny"/>
        <w:spacing w:line="360" w:lineRule="auto"/>
        <w:ind w:left="426" w:hanging="426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1) upadły doprowadził do swojej niewypłacalności lub istotnie zwiększył jej stopień w sposób celowy, w szczególności przez trwonienie części składowych majątku oraz celowe nieregulowanie wymagalnych zobowiązań,</w:t>
      </w:r>
    </w:p>
    <w:p w:rsidR="00DF3B1A" w:rsidRPr="001A1B77" w:rsidRDefault="00DF3B1A" w:rsidP="001A1B77">
      <w:pPr>
        <w:pStyle w:val="tekstglowny"/>
        <w:spacing w:line="360" w:lineRule="auto"/>
        <w:ind w:left="426" w:hanging="426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2) w okresie dziesięciu lat przed dniem zgłoszenia wniosku o ogłoszenie upadłości w stosunku do upadłego prowadzono postępowanie upadłościowe, w którym umorzono całość lub część jego zobowiązań</w:t>
      </w:r>
    </w:p>
    <w:p w:rsidR="00463DAA" w:rsidRPr="001A1B77" w:rsidRDefault="00DF3B1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– chyba że uwzględnienie wniosku jest uzasadnione względami słuszności lub względami humanitarnymi.</w:t>
      </w:r>
    </w:p>
    <w:p w:rsidR="000E4425" w:rsidRPr="001A1B77" w:rsidRDefault="00DF3B1A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W przypadku wniosku o ustalenie planu spłaty wierzycieli i umorzenie pozostałej części zobowiązań, celem jest częściowe zaspokojenie wierzytelności pozostałych jeszcze po zakończeniu postępowania upadłościowego wobec osoby fizycznej – zgodnie z owym planem. </w:t>
      </w:r>
    </w:p>
    <w:p w:rsidR="00463DAA" w:rsidRPr="001A1B77" w:rsidRDefault="000E4425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Plan spłaty ustala, w oparciu o  art. 370a ust. 8 PU sąd upadłościowy, w drodze postanowienia, biorąc pod uwagę możliwości zarobkowe upadłego, konieczność utrzymania upadłego i osób pozostających na jego utrzymaniu oraz ich potrzeby mieszkaniowe, wysokość niezaspokojonych wierzytelności oraz stopień zaspokojenia wierzytelności w postępowaniu upadło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>ściowym. Podkreślić należy, że s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ąd nie jest przy tym związany stanowiskiem upadłego oraz wierzycieli co do treści planu spłaty </w:t>
      </w:r>
      <w:r w:rsidR="00DF3B1A" w:rsidRPr="001A1B77">
        <w:rPr>
          <w:rFonts w:ascii="Times New Roman" w:hAnsi="Times New Roman" w:cs="Times New Roman"/>
          <w:w w:val="100"/>
          <w:sz w:val="24"/>
          <w:szCs w:val="24"/>
        </w:rPr>
        <w:t xml:space="preserve">W postanowieniu o ustaleniu planu spłaty wierzycieli sąd ustala, czy upadły doprowadził do swojej niewypłacalności lub istotnie zwiększył jej stopień umyślnie lub wskutek rażącego niedbalstwa, oraz określa, w jakim zakresie i okresie, nie dłuższym niż trzydzieści sześć miesięcy, upadły jest obowiązany spłacać zobowiązania uznane na liście wierzytelności a niewykonane w toku postępowania upadłościowego na podstawie planów podziału oraz jaka część zobowiązań upadłego powstałych przed dniem ogłoszenia upadłości zostanie umorzona po wykonaniu planu spłaty wierzycieli.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Ustalenie planu spłaty wierzycieli nie narusza praw wierzyciela wobec poręczyciela upadłego oraz współdłużnika upadłego ani praw wynikających z hipoteki, zastawu, zastawu rejestrowego, zastawu skarbowego oraz hipoteki morskiej, jeżeli były one ustanowione na mieniu osoby trzeciej. Ustalenie planu spłaty wierzycieli i umorzenie zobowiązań upadłego jest skuteczne również w stosunkach między upadłym, a poręczycielem, gwarantem i współdłużnikiem upadłego.</w:t>
      </w:r>
    </w:p>
    <w:p w:rsidR="00370D23" w:rsidRPr="001A1B77" w:rsidRDefault="00463DAA" w:rsidP="00C62EA9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E4425" w:rsidRPr="001A1B77">
        <w:rPr>
          <w:rFonts w:ascii="Times New Roman" w:hAnsi="Times New Roman" w:cs="Times New Roman"/>
          <w:w w:val="100"/>
          <w:sz w:val="24"/>
          <w:szCs w:val="24"/>
        </w:rPr>
        <w:t xml:space="preserve">W okresie wykonywania planu spłaty wierzycieli niedopuszczalne jest wszczęcie postępowania egzekucyjnego dotyczącego wierzytelności wynikających z zobowiązań upadłego które nie zostały zaspokojone w postępowaniu upadłościowym. Z kolei upadły w </w:t>
      </w:r>
      <w:r w:rsidR="000E4425" w:rsidRPr="001A1B77">
        <w:rPr>
          <w:rFonts w:ascii="Times New Roman" w:hAnsi="Times New Roman" w:cs="Times New Roman"/>
          <w:w w:val="100"/>
          <w:sz w:val="24"/>
          <w:szCs w:val="24"/>
        </w:rPr>
        <w:lastRenderedPageBreak/>
        <w:t>okresie wykonywania planu spłaty wierzycieli nie może dokonywać czynności prawnych, które mogłyby pogorszyć jego zdolność do wykonania planu spłaty wierzycieli. Ponadto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E4425" w:rsidRPr="001A1B77">
        <w:rPr>
          <w:rFonts w:ascii="Times New Roman" w:hAnsi="Times New Roman" w:cs="Times New Roman"/>
          <w:w w:val="100"/>
          <w:sz w:val="24"/>
          <w:szCs w:val="24"/>
        </w:rPr>
        <w:t>upadły jest obowiązany składać sądowi corocznie do końca kwietnia sprawozdanie z wykonania planu spłaty wierzycieli za poprzedni rok kalendarzowy, w którym wykazuje osiągnięte przychody, spłacone kwoty oraz nabyte składniki majątkowe o wartości przekraczającej przeciętne miesięczne wynagrodzenie w sektorze przedsiębiorstw bez wypłat nagród z zysku w trzecim kwartale roku poprzedniego, ogłoszone przez Prezesa Głównego Urzędu Statystycznego. Do sprawozdania upadły dołącza kopię rocznego zeznania podatkowego.</w:t>
      </w:r>
    </w:p>
    <w:p w:rsidR="00DE5A81" w:rsidRPr="001A1B77" w:rsidRDefault="00C174E8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ab/>
        <w:t>Po wykonaniu przez upadłego obowiązków określonych w planie spłaty wierzycieli sąd wydaje postanowienie o stwierdzeniu wykonania planu spłaty i umorzeniu zobowiązań upadłego niewykonanych w wyniku wykonania planu spłaty wierzycieli</w:t>
      </w:r>
      <w:r w:rsidR="00DE5A81" w:rsidRPr="001A1B77">
        <w:rPr>
          <w:rFonts w:ascii="Times New Roman" w:hAnsi="Times New Roman" w:cs="Times New Roman"/>
          <w:w w:val="100"/>
          <w:sz w:val="24"/>
          <w:szCs w:val="24"/>
        </w:rPr>
        <w:t xml:space="preserve"> (za wyjątkiem wymienionych w art. 370f ust. 2 PU)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. 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>Po wydaniu postanowienia</w:t>
      </w:r>
      <w:r w:rsidR="00DE5A81" w:rsidRPr="001A1B77">
        <w:rPr>
          <w:rFonts w:ascii="Times New Roman" w:hAnsi="Times New Roman" w:cs="Times New Roman"/>
          <w:w w:val="100"/>
          <w:sz w:val="24"/>
          <w:szCs w:val="24"/>
        </w:rPr>
        <w:t xml:space="preserve"> niedopuszczalne jest wszczęcie postępowania egzekucyjnego dotyczącego umorzonych wierzytelności.</w:t>
      </w:r>
    </w:p>
    <w:p w:rsidR="00C174E8" w:rsidRPr="001A1B77" w:rsidRDefault="00C174E8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W przypadku </w:t>
      </w:r>
      <w:r w:rsidR="009C78A7" w:rsidRPr="001A1B77">
        <w:rPr>
          <w:rFonts w:ascii="Times New Roman" w:hAnsi="Times New Roman" w:cs="Times New Roman"/>
          <w:w w:val="100"/>
          <w:sz w:val="24"/>
          <w:szCs w:val="24"/>
        </w:rPr>
        <w:t xml:space="preserve">natomiast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niewykonywania przez upadłego obowiązków</w:t>
      </w:r>
      <w:r w:rsidR="009C78A7"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ustalonych w planie spłaty wierzycieli sąd z urzędu albo na wniosek wierzyciela</w:t>
      </w:r>
      <w:r w:rsidR="009C78A7"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uchyla plan spłaty wierzycieli po wysłuchaniu upadłego i wierzycieli objętych</w:t>
      </w:r>
      <w:r w:rsidR="009C78A7"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planem spłaty, chyba że uchybienie obowiązkom jest nieznaczne lub umorzenie</w:t>
      </w:r>
      <w:r w:rsidR="009C78A7"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pozostałej części zobowiązań upadłego jest uzasadnione względami słuszności lub</w:t>
      </w:r>
      <w:r w:rsidR="009C78A7" w:rsidRPr="001A1B7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względami humanitarnymi.</w:t>
      </w:r>
      <w:r w:rsidR="00DE5A81" w:rsidRPr="001A1B77">
        <w:rPr>
          <w:rFonts w:ascii="Times New Roman" w:hAnsi="Times New Roman" w:cs="Times New Roman"/>
          <w:w w:val="100"/>
          <w:sz w:val="24"/>
          <w:szCs w:val="24"/>
        </w:rPr>
        <w:t xml:space="preserve"> W przypadku uchylenia planu spłaty zobowiązania upadłego nie podlegają umorzeniu.</w:t>
      </w:r>
    </w:p>
    <w:p w:rsidR="00370D23" w:rsidRPr="001A1B77" w:rsidRDefault="00370D23" w:rsidP="001A1B7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D23" w:rsidRPr="001A1B77" w:rsidRDefault="00DF3B1A" w:rsidP="001A1B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1B77">
        <w:rPr>
          <w:rFonts w:ascii="Times New Roman" w:eastAsia="Calibri" w:hAnsi="Times New Roman" w:cs="Times New Roman"/>
          <w:b/>
          <w:sz w:val="24"/>
          <w:szCs w:val="24"/>
        </w:rPr>
        <w:t>Umorzenie postępowania upadłościowego</w:t>
      </w:r>
    </w:p>
    <w:p w:rsidR="00370D23" w:rsidRPr="001A1B77" w:rsidRDefault="00370D23" w:rsidP="001A1B7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B1A" w:rsidRPr="001A1B77" w:rsidRDefault="00DE5A81" w:rsidP="001A1B77">
      <w:pPr>
        <w:pStyle w:val="tekstglowny"/>
        <w:spacing w:line="36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Jak już zaznaczono, w przeciwieństwie do zakończenia postępowania upadłościowego, jego umorzenie następuje bez osiągnięcia celu tego postępowania, a zatem bez pełnej likwidacji majątku upadłego i zaspokojenia z uzyskanych sum jego wierzycieli. Umorzenie postępowania upadłościowego w</w:t>
      </w:r>
      <w:r w:rsidR="00DF3B1A" w:rsidRPr="001A1B77">
        <w:rPr>
          <w:rFonts w:ascii="Times New Roman" w:hAnsi="Times New Roman" w:cs="Times New Roman"/>
          <w:w w:val="100"/>
          <w:sz w:val="24"/>
          <w:szCs w:val="24"/>
        </w:rPr>
        <w:t>iąże się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z reguły z przyjęciem w PU</w:t>
      </w:r>
      <w:r w:rsidR="00DF3B1A" w:rsidRPr="001A1B77">
        <w:rPr>
          <w:rFonts w:ascii="Times New Roman" w:hAnsi="Times New Roman" w:cs="Times New Roman"/>
          <w:w w:val="100"/>
          <w:sz w:val="24"/>
          <w:szCs w:val="24"/>
        </w:rPr>
        <w:t xml:space="preserve"> zasady, iż koszty postępowania upadłościowego powinny być pokrywane z majątku upadłego (ponoszone są zatem co do zasady z masy upadłości), a postępowanie upadłościowe ma zmierzać do zaspokojenia, choćby w minimalnym stopniu, wierzycieli dłużnika. Jeżeli wartość majątku niewypłacalnego dłużnika jest tak mała, że brak jest środków choćby na pokrycie kosztów postępowania upadłościowego,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co do zasady </w:t>
      </w:r>
      <w:r w:rsidR="00DF3B1A" w:rsidRPr="001A1B77">
        <w:rPr>
          <w:rFonts w:ascii="Times New Roman" w:hAnsi="Times New Roman" w:cs="Times New Roman"/>
          <w:w w:val="100"/>
          <w:sz w:val="24"/>
          <w:szCs w:val="24"/>
        </w:rPr>
        <w:t>nie należy go w ogóle wszczynać,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jednakże niekiedy fakt ten może się ujawnić dopiero w toku postępowania upadłościowego (albo też już w jego trakcie nastąpi spadek wartości majątku upadłego, powodujący, że nie wystarczy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on na pokrycie kosztów postępowania upadłościowego. Wówczas wszczęte już postępowanie upadłościowe należy </w:t>
      </w:r>
      <w:r w:rsidR="00DF3B1A" w:rsidRPr="001A1B77">
        <w:rPr>
          <w:rFonts w:ascii="Times New Roman" w:hAnsi="Times New Roman" w:cs="Times New Roman"/>
          <w:w w:val="100"/>
          <w:sz w:val="24"/>
          <w:szCs w:val="24"/>
        </w:rPr>
        <w:t>umorzyć.</w:t>
      </w:r>
    </w:p>
    <w:p w:rsidR="00370D23" w:rsidRPr="001A1B77" w:rsidRDefault="00DF3B1A" w:rsidP="001A1B77">
      <w:pPr>
        <w:pStyle w:val="tekstglowny"/>
        <w:spacing w:line="360" w:lineRule="auto"/>
        <w:rPr>
          <w:rFonts w:ascii="Times New Roman" w:eastAsia="Calibri" w:hAnsi="Times New Roman" w:cs="Times New Roman"/>
          <w:w w:val="100"/>
          <w:sz w:val="24"/>
          <w:szCs w:val="24"/>
        </w:rPr>
      </w:pPr>
      <w:r w:rsidRPr="001A1B77">
        <w:rPr>
          <w:rFonts w:ascii="Times New Roman" w:hAnsi="Times New Roman" w:cs="Times New Roman"/>
          <w:w w:val="100"/>
          <w:sz w:val="24"/>
          <w:szCs w:val="24"/>
        </w:rPr>
        <w:t>Jeśli brak jest wolnych środków na pokrycie kosztów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 xml:space="preserve"> postępowania upadłoś</w:t>
      </w:r>
      <w:r w:rsidR="00DE5A81" w:rsidRPr="001A1B77">
        <w:rPr>
          <w:rFonts w:ascii="Times New Roman" w:hAnsi="Times New Roman" w:cs="Times New Roman"/>
          <w:w w:val="100"/>
          <w:sz w:val="24"/>
          <w:szCs w:val="24"/>
        </w:rPr>
        <w:t>ciowego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, </w:t>
      </w:r>
      <w:proofErr w:type="spellStart"/>
      <w:r w:rsidRPr="001A1B77">
        <w:rPr>
          <w:rFonts w:ascii="Times New Roman" w:hAnsi="Times New Roman" w:cs="Times New Roman"/>
          <w:w w:val="100"/>
          <w:sz w:val="24"/>
          <w:szCs w:val="24"/>
        </w:rPr>
        <w:t>sędzia–komisarz</w:t>
      </w:r>
      <w:proofErr w:type="spellEnd"/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 może </w:t>
      </w:r>
      <w:r w:rsidR="00DE5A81" w:rsidRPr="001A1B77">
        <w:rPr>
          <w:rFonts w:ascii="Times New Roman" w:hAnsi="Times New Roman" w:cs="Times New Roman"/>
          <w:w w:val="100"/>
          <w:sz w:val="24"/>
          <w:szCs w:val="24"/>
        </w:rPr>
        <w:t xml:space="preserve">wprawdzie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zwołać zgromadzenie wierzycieli w celu podjęcia uchwały co do złożenia zaliczek na dalsze prowadzenie postępowania albo zobowiązać wierzycieli mających największe wierzytelności do złożenia zaliczek na koszty. 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 xml:space="preserve">Może się jednak zdarzyć, że wierzyciele takich zaliczek 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>nie zł</w:t>
      </w:r>
      <w:r w:rsidR="00C62EA9">
        <w:rPr>
          <w:rFonts w:ascii="Times New Roman" w:hAnsi="Times New Roman" w:cs="Times New Roman"/>
          <w:w w:val="100"/>
          <w:sz w:val="24"/>
          <w:szCs w:val="24"/>
        </w:rPr>
        <w:t>ożą</w:t>
      </w:r>
      <w:r w:rsidRPr="001A1B77">
        <w:rPr>
          <w:rFonts w:ascii="Times New Roman" w:hAnsi="Times New Roman" w:cs="Times New Roman"/>
          <w:w w:val="100"/>
          <w:sz w:val="24"/>
          <w:szCs w:val="24"/>
        </w:rPr>
        <w:t xml:space="preserve">. </w:t>
      </w:r>
    </w:p>
    <w:p w:rsidR="00527BDD" w:rsidRPr="001A1B77" w:rsidRDefault="00527BDD" w:rsidP="001A1B77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Kwestię </w:t>
      </w:r>
      <w:r w:rsidR="00DE5A81" w:rsidRPr="001A1B77">
        <w:rPr>
          <w:rFonts w:ascii="Times New Roman" w:eastAsia="Calibri" w:hAnsi="Times New Roman" w:cs="Times New Roman"/>
          <w:sz w:val="24"/>
          <w:szCs w:val="24"/>
        </w:rPr>
        <w:t xml:space="preserve">umorzenia postępowania upadłościowego regulują 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art. 361 </w:t>
      </w:r>
      <w:r w:rsidR="00DE5A81" w:rsidRPr="001A1B77">
        <w:rPr>
          <w:rFonts w:ascii="Times New Roman" w:eastAsia="Calibri" w:hAnsi="Times New Roman" w:cs="Times New Roman"/>
          <w:sz w:val="24"/>
          <w:szCs w:val="24"/>
        </w:rPr>
        <w:t xml:space="preserve">i nast. PU. 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5A81" w:rsidRPr="001A1B77">
        <w:rPr>
          <w:rFonts w:ascii="Times New Roman" w:eastAsia="Calibri" w:hAnsi="Times New Roman" w:cs="Times New Roman"/>
          <w:sz w:val="24"/>
          <w:szCs w:val="24"/>
        </w:rPr>
        <w:t>W art. 361 PU wskazane zostały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 trzy przesłanki umorzenia postępowania upadłościowego, przy czym wystarczające jest zaistnienie choćby jednej z nich. Katalog ten ma charakter zamknięty i nie może być interpretowany rozszerzająco. Zgodnie z art. 361 PUN sąd umorzy postępowanie upadłościowe, jeżeli:</w:t>
      </w:r>
    </w:p>
    <w:p w:rsidR="00527BDD" w:rsidRPr="001A1B77" w:rsidRDefault="00527BDD" w:rsidP="001A1B77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Majątek </w:t>
      </w:r>
      <w:r w:rsidR="00C62EA9">
        <w:rPr>
          <w:rFonts w:ascii="Times New Roman" w:eastAsia="Calibri" w:hAnsi="Times New Roman" w:cs="Times New Roman"/>
          <w:sz w:val="24"/>
          <w:szCs w:val="24"/>
        </w:rPr>
        <w:t xml:space="preserve">upadłego </w:t>
      </w:r>
      <w:r w:rsidRPr="001A1B77">
        <w:rPr>
          <w:rFonts w:ascii="Times New Roman" w:eastAsia="Calibri" w:hAnsi="Times New Roman" w:cs="Times New Roman"/>
          <w:sz w:val="24"/>
          <w:szCs w:val="24"/>
        </w:rPr>
        <w:t>pozostały po wyłączeniu z niego przedmiotów majątkowych dłużnika obciążonych hipoteką, zastawem, zastawem rejestrowym, zastawem skarbowym lub hipoteką morską nie wystarcza na zaspokojenie kosztów postępowania;</w:t>
      </w:r>
    </w:p>
    <w:p w:rsidR="00527BDD" w:rsidRPr="001A1B77" w:rsidRDefault="00527BDD" w:rsidP="001A1B77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77">
        <w:rPr>
          <w:rFonts w:ascii="Times New Roman" w:eastAsia="Calibri" w:hAnsi="Times New Roman" w:cs="Times New Roman"/>
          <w:sz w:val="24"/>
          <w:szCs w:val="24"/>
        </w:rPr>
        <w:t>Wierzyciele zobowiązani uchwałą zgromadzenia wierzycieli albo postanowieniem sędziego-komisarza nie złożyli w wyznaczonym terminie zaliczki na koszty postępowania, a brak jest płynnych funduszów na te koszty;</w:t>
      </w:r>
    </w:p>
    <w:p w:rsidR="00527BDD" w:rsidRPr="001A1B77" w:rsidRDefault="00527BDD" w:rsidP="001A1B77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77">
        <w:rPr>
          <w:rFonts w:ascii="Times New Roman" w:eastAsia="Calibri" w:hAnsi="Times New Roman" w:cs="Times New Roman"/>
          <w:sz w:val="24"/>
          <w:szCs w:val="24"/>
        </w:rPr>
        <w:t>Wszyscy wierzyciele, którzy zgłosili swoje wierzytelności, żądają umorzenia postępowania.</w:t>
      </w:r>
    </w:p>
    <w:p w:rsidR="00D34726" w:rsidRPr="001A1B77" w:rsidRDefault="00D34726" w:rsidP="001A1B77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7BDD" w:rsidRPr="001A1B77" w:rsidRDefault="00527BDD" w:rsidP="001A1B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1B77">
        <w:rPr>
          <w:rFonts w:ascii="Times New Roman" w:eastAsia="Calibri" w:hAnsi="Times New Roman" w:cs="Times New Roman"/>
          <w:sz w:val="24"/>
          <w:szCs w:val="24"/>
        </w:rPr>
        <w:tab/>
        <w:t>W odniesieniu do przywołanej regulacji zwrócić należy uwagę, że podstawą do umorzenia postępowania upadłościowego może być przede wszystkim brak funduszów na pokrycie kosz</w:t>
      </w:r>
      <w:r w:rsidR="00D34726" w:rsidRPr="001A1B77">
        <w:rPr>
          <w:rFonts w:ascii="Times New Roman" w:eastAsia="Calibri" w:hAnsi="Times New Roman" w:cs="Times New Roman"/>
          <w:sz w:val="24"/>
          <w:szCs w:val="24"/>
        </w:rPr>
        <w:t>tów postępowania upadłościowego, co w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ynika z </w:t>
      </w:r>
      <w:r w:rsidR="00D34726" w:rsidRPr="001A1B77">
        <w:rPr>
          <w:rFonts w:ascii="Times New Roman" w:eastAsia="Calibri" w:hAnsi="Times New Roman" w:cs="Times New Roman"/>
          <w:sz w:val="24"/>
          <w:szCs w:val="24"/>
        </w:rPr>
        <w:t>przywołanej już zasady</w:t>
      </w:r>
      <w:r w:rsidRPr="001A1B77">
        <w:rPr>
          <w:rFonts w:ascii="Times New Roman" w:eastAsia="Calibri" w:hAnsi="Times New Roman" w:cs="Times New Roman"/>
          <w:sz w:val="24"/>
          <w:szCs w:val="24"/>
        </w:rPr>
        <w:t xml:space="preserve">, że koszty te powinny być co do zasady ponoszone z masy upadłości. </w:t>
      </w: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Brak funduszów może przy tym wynikać zarówno z faktu, że w sytuacji, gdy brak jest płynnych środków na koszty postępowania, wierzyciele zobowiązani uchwałą zgromadzenia wierzycieli albo postanowieniem sędziego-komisarza nie złożyli w wyznaczonym terminie zaliczki na te koszty, jak również z obciążenia majątku upadłego prawami zastawniczymi w takim stopniu, że jego pozostały majątek nie wystarcza na zaspokojeni</w:t>
      </w:r>
      <w:r w:rsidR="00D34726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e kosztów postępowania.</w:t>
      </w:r>
    </w:p>
    <w:p w:rsidR="00527BDD" w:rsidRPr="001A1B77" w:rsidRDefault="00D34726" w:rsidP="001A1B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Przepis art. 361 pkt. 1 PU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powoduje, że stopień obciążenia majątku upadłego prawami zastawniczymi decydować może o celowości kontynuowania postępowania upadłościowego obejmującego likwidację majątku upadłego. Stanowi on logiczne uzupełnienie regulac</w:t>
      </w: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ji zawartej w art. 13 ust. 2 PU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przewidującej możliwość oddalenia przez sąd wniosku o 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ogłoszenie upadłości w razie stwierdzenia, że majątek dłużnika jest obciążony prawami zastawniczymi w takim stopniu, że pozostały jego majątek nie wystarcza na zaspokojenie kosztów postępowania. W przeciwieństwie do sytuacji pr</w:t>
      </w: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zewidzianej w art. 13 ust. 2 PU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, w przypadku regulowa</w:t>
      </w: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nym przepisem art. 361 </w:t>
      </w:r>
      <w:proofErr w:type="spellStart"/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pkt</w:t>
      </w:r>
      <w:proofErr w:type="spellEnd"/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PU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fakt, iż majątek upadłego pozostały po wyłączeniu z niego przedmiotów majątkowych obciążonych prawami zastawniczymi nie wystarcza na zaspokojenie kosztów postępowania upadłościowego ujawnia się </w:t>
      </w:r>
      <w:r w:rsidR="00C62E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jednak 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dopiero po wszczęciu tego postępowania. Ocena, czy majątek pozostały po wyłączeniu z niego obciążonych składników, wystarczy na zaspokojenie kosztów postępowania, należy do sądu upadłościowego, który dokonuje jej na podstawie spisu inwentarza i oszacowania tego majątku, w porównaniu z przewidywanymi kosztami postępowania upadłościowego. Ocena taka zatem będzie dokładniejsza niż dokonywana na etapie podejmowania przez sąd decyzji o wszczęciu postępowania upad</w:t>
      </w:r>
      <w:r w:rsidR="00C62EA9">
        <w:rPr>
          <w:rFonts w:ascii="Times New Roman" w:eastAsia="Calibri" w:hAnsi="Times New Roman" w:cs="Times New Roman"/>
          <w:color w:val="000000"/>
          <w:sz w:val="24"/>
          <w:szCs w:val="24"/>
        </w:rPr>
        <w:t>łościowego, kiedy nie dysponuje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 jeszcze spisem inwentarza i oszacowaniem majątku upadłego.</w:t>
      </w:r>
    </w:p>
    <w:p w:rsidR="00527BDD" w:rsidRPr="001A1B77" w:rsidRDefault="00D34726" w:rsidP="001A1B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Przepis art. 361 pkt</w:t>
      </w:r>
      <w:r w:rsidR="00C62EA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 PU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przewiduje ponadto umorzenie postępowania upadłościowego, gdy żądają tego wszyscy wierzyciele, którzy zgłosili swoje wierzytelności. Chodzi przy tym jednak jedynie o wierzycieli, którzy nie zostali jeszcze zaspokojeni w toku postępowania upadłościowe</w:t>
      </w:r>
      <w:r w:rsidR="00C62EA9">
        <w:rPr>
          <w:rFonts w:ascii="Times New Roman" w:eastAsia="Calibri" w:hAnsi="Times New Roman" w:cs="Times New Roman"/>
          <w:color w:val="000000"/>
          <w:sz w:val="24"/>
          <w:szCs w:val="24"/>
        </w:rPr>
        <w:t>go, natomiast o możliwości umorzenia postępowania upadłościowego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decyduje stanowisko wierzycieli już </w:t>
      </w:r>
      <w:r w:rsidR="00C62E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jego trakcie 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>zaspokojonych. W praktyce taka sytuacja może mieć miejsce głównie wtedy, gdy wszyscy niezaspokojeni jeszcze w toku postępowania wierzyciele dojdą do wniosku, że szybciej lub w większym stopniu mogą zostać zaspokojeni w drodze egzekucji indywidualnych z majątku upadłego, niż w wyniku dalszego postępowania upadłościowego – zwłaszcza, że</w:t>
      </w: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oparciu o art. 264 ust. 1 PU</w:t>
      </w:r>
      <w:r w:rsidR="00527BDD"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mogą wykorzystać jako tytuł egzekucyjny wyciąg z listy wierzytelności.   </w:t>
      </w:r>
    </w:p>
    <w:p w:rsidR="002E26EF" w:rsidRPr="001A1B77" w:rsidRDefault="002E26EF" w:rsidP="001A1B77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1A1B7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Umorzenie postępowania upadłościowego dokonywane jest na drodze postanowienia sądu upadłościowego, na które przysługuje zażalenie. </w:t>
      </w:r>
      <w:r w:rsidRPr="001A1B7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Postanowienie doręcza się upadłemu, syndykowi oraz członkom rady wierzycieli. Z dniem uprawomocnienia się postanowienia o umorzeniu postępowania upadłościowego upadły odzyskuje prawo zarządzania swoim majątkiem i rozporządzania jego składnikami, równocześnie jednak mogą być przeciwko niemu wszczynane indywidualne postępowania egzekucyjne. </w:t>
      </w:r>
      <w:r w:rsidR="00F01F54" w:rsidRPr="001A1B7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Zmiany stosunków prawnych dokonane na podstawie przepisów ustawy obowiązują upadłego i drugą stronę również po umorzeniu lub zakończeniu postępowania upadłościowego, chyba że przepisy odrębnej ustawy stanowią inaczej</w:t>
      </w:r>
    </w:p>
    <w:p w:rsidR="002E26EF" w:rsidRDefault="002E26EF" w:rsidP="001A1B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62EA9" w:rsidRPr="001A1B77" w:rsidRDefault="00C62EA9" w:rsidP="001A1B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4425" w:rsidRPr="001A1B77" w:rsidRDefault="000E4425" w:rsidP="001A1B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77">
        <w:rPr>
          <w:rFonts w:ascii="Times New Roman" w:hAnsi="Times New Roman" w:cs="Times New Roman"/>
          <w:b/>
          <w:sz w:val="24"/>
          <w:szCs w:val="24"/>
        </w:rPr>
        <w:lastRenderedPageBreak/>
        <w:t>4. Uchylenie postępowania upadłościowego</w:t>
      </w:r>
    </w:p>
    <w:p w:rsidR="00F01F54" w:rsidRPr="001A1B77" w:rsidRDefault="00F01F54" w:rsidP="001A1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F54" w:rsidRPr="001A1B77" w:rsidRDefault="00F01F54" w:rsidP="001A1B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B77">
        <w:rPr>
          <w:rFonts w:ascii="Times New Roman" w:hAnsi="Times New Roman" w:cs="Times New Roman"/>
          <w:sz w:val="24"/>
          <w:szCs w:val="24"/>
        </w:rPr>
        <w:t>Post</w:t>
      </w:r>
      <w:r w:rsidR="00C62EA9">
        <w:rPr>
          <w:rFonts w:ascii="Times New Roman" w:hAnsi="Times New Roman" w:cs="Times New Roman"/>
          <w:sz w:val="24"/>
          <w:szCs w:val="24"/>
        </w:rPr>
        <w:t>ępowanie upadłościowe, zgodnie z</w:t>
      </w:r>
      <w:r w:rsidRPr="001A1B77">
        <w:rPr>
          <w:rFonts w:ascii="Times New Roman" w:hAnsi="Times New Roman" w:cs="Times New Roman"/>
          <w:sz w:val="24"/>
          <w:szCs w:val="24"/>
        </w:rPr>
        <w:t xml:space="preserve"> art. 372 ust. 1 PU podlega uchyleniu w razie prawomocnego odrzucenia albo oddalenia wniosku o ogłoszenie upadłości. Zmiany stosunków prawnych dokonane na podstawie przepisów ustawy obowiązują upadłego i drugą stronę również po uchyleniu postępowania upadłościowego, z tym że:</w:t>
      </w:r>
    </w:p>
    <w:p w:rsidR="00F01F54" w:rsidRPr="001A1B77" w:rsidRDefault="00F01F54" w:rsidP="001A1B7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B77">
        <w:rPr>
          <w:rFonts w:ascii="Times New Roman" w:hAnsi="Times New Roman" w:cs="Times New Roman"/>
          <w:sz w:val="24"/>
          <w:szCs w:val="24"/>
        </w:rPr>
        <w:t>1) upadły może cofnąć wypowiedzenie umów dokonane przez syndyka, jeżeli nie upłynął termin wypowiedzenia;</w:t>
      </w:r>
    </w:p>
    <w:p w:rsidR="00F01F54" w:rsidRPr="001A1B77" w:rsidRDefault="00F01F54" w:rsidP="001A1B77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B77">
        <w:rPr>
          <w:rFonts w:ascii="Times New Roman" w:hAnsi="Times New Roman" w:cs="Times New Roman"/>
          <w:sz w:val="24"/>
          <w:szCs w:val="24"/>
        </w:rPr>
        <w:t xml:space="preserve">2) upadły może w terminie trzydziestu dni od dnia ogłoszenia albo doręczenia postanowienia, którym uchylono postępowanie – odstąpić od umów zawartych przez syndyka, jeżeli umowa przez niego zawarta nie została wykonana albo została wykonana częściowo. </w:t>
      </w:r>
    </w:p>
    <w:sectPr w:rsidR="00F01F54" w:rsidRPr="001A1B77" w:rsidSect="00EC23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D6" w:rsidRDefault="00736BD6" w:rsidP="00BE226B">
      <w:pPr>
        <w:spacing w:after="0" w:line="240" w:lineRule="auto"/>
      </w:pPr>
      <w:r>
        <w:separator/>
      </w:r>
    </w:p>
  </w:endnote>
  <w:endnote w:type="continuationSeparator" w:id="0">
    <w:p w:rsidR="00736BD6" w:rsidRDefault="00736BD6" w:rsidP="00B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Calligr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FN Burea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64547"/>
      <w:docPartObj>
        <w:docPartGallery w:val="Page Numbers (Bottom of Page)"/>
        <w:docPartUnique/>
      </w:docPartObj>
    </w:sdtPr>
    <w:sdtContent>
      <w:p w:rsidR="00DE5A81" w:rsidRDefault="006E4A9B">
        <w:pPr>
          <w:pStyle w:val="Stopka"/>
          <w:jc w:val="right"/>
        </w:pPr>
        <w:fldSimple w:instr=" PAGE   \* MERGEFORMAT ">
          <w:r w:rsidR="00C62EA9">
            <w:rPr>
              <w:noProof/>
            </w:rPr>
            <w:t>7</w:t>
          </w:r>
        </w:fldSimple>
      </w:p>
    </w:sdtContent>
  </w:sdt>
  <w:p w:rsidR="00DE5A81" w:rsidRDefault="00DE5A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D6" w:rsidRDefault="00736BD6" w:rsidP="00BE226B">
      <w:pPr>
        <w:spacing w:after="0" w:line="240" w:lineRule="auto"/>
      </w:pPr>
      <w:r>
        <w:separator/>
      </w:r>
    </w:p>
  </w:footnote>
  <w:footnote w:type="continuationSeparator" w:id="0">
    <w:p w:rsidR="00736BD6" w:rsidRDefault="00736BD6" w:rsidP="00BE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84B"/>
    <w:multiLevelType w:val="hybridMultilevel"/>
    <w:tmpl w:val="BD6A1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80E1B"/>
    <w:multiLevelType w:val="hybridMultilevel"/>
    <w:tmpl w:val="BF5A8DCC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">
    <w:nsid w:val="7BB94547"/>
    <w:multiLevelType w:val="multilevel"/>
    <w:tmpl w:val="580C1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26B"/>
    <w:rsid w:val="000E4425"/>
    <w:rsid w:val="001569D6"/>
    <w:rsid w:val="001679C9"/>
    <w:rsid w:val="001A1B77"/>
    <w:rsid w:val="002E26EF"/>
    <w:rsid w:val="003566C4"/>
    <w:rsid w:val="00370D23"/>
    <w:rsid w:val="0038332D"/>
    <w:rsid w:val="00385B23"/>
    <w:rsid w:val="00463DAA"/>
    <w:rsid w:val="00527BDD"/>
    <w:rsid w:val="00683D84"/>
    <w:rsid w:val="006E4A9B"/>
    <w:rsid w:val="00736BD6"/>
    <w:rsid w:val="008E428C"/>
    <w:rsid w:val="00925B02"/>
    <w:rsid w:val="0095754C"/>
    <w:rsid w:val="009C6100"/>
    <w:rsid w:val="009C78A7"/>
    <w:rsid w:val="00B06FA2"/>
    <w:rsid w:val="00BD1F7E"/>
    <w:rsid w:val="00BE226B"/>
    <w:rsid w:val="00C11E3A"/>
    <w:rsid w:val="00C174E8"/>
    <w:rsid w:val="00C62EA9"/>
    <w:rsid w:val="00C85E36"/>
    <w:rsid w:val="00D34726"/>
    <w:rsid w:val="00DE5A81"/>
    <w:rsid w:val="00DF3B1A"/>
    <w:rsid w:val="00E529F0"/>
    <w:rsid w:val="00E879B4"/>
    <w:rsid w:val="00EC2359"/>
    <w:rsid w:val="00F0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lowny">
    <w:name w:val="_tekst glowny"/>
    <w:basedOn w:val="Normalny"/>
    <w:rsid w:val="00BE226B"/>
    <w:pPr>
      <w:widowControl w:val="0"/>
      <w:autoSpaceDE w:val="0"/>
      <w:autoSpaceDN w:val="0"/>
      <w:adjustRightInd w:val="0"/>
      <w:spacing w:after="0" w:line="256" w:lineRule="atLeast"/>
      <w:ind w:firstLine="454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r311">
    <w:name w:val="*r3_1.1."/>
    <w:basedOn w:val="Normalny"/>
    <w:rsid w:val="00BE226B"/>
    <w:pPr>
      <w:widowControl w:val="0"/>
      <w:suppressAutoHyphens/>
      <w:autoSpaceDE w:val="0"/>
      <w:autoSpaceDN w:val="0"/>
      <w:adjustRightInd w:val="0"/>
      <w:spacing w:before="397" w:after="255" w:line="288" w:lineRule="auto"/>
      <w:jc w:val="center"/>
      <w:textAlignment w:val="center"/>
    </w:pPr>
    <w:rPr>
      <w:rFonts w:ascii="EFN Bureau" w:eastAsia="Times New Roman" w:hAnsi="EFN Bureau" w:cs="EFN Bureau"/>
      <w:b/>
      <w:bCs/>
      <w:color w:val="000000"/>
      <w:sz w:val="24"/>
      <w:szCs w:val="24"/>
      <w:lang w:eastAsia="pl-PL"/>
    </w:rPr>
  </w:style>
  <w:style w:type="paragraph" w:customStyle="1" w:styleId="lista1-wyliczeniowa">
    <w:name w:val="*lista1-wyliczeniowa"/>
    <w:basedOn w:val="Normalny"/>
    <w:rsid w:val="00BE226B"/>
    <w:pPr>
      <w:widowControl w:val="0"/>
      <w:tabs>
        <w:tab w:val="left" w:pos="454"/>
        <w:tab w:val="left" w:pos="567"/>
      </w:tabs>
      <w:autoSpaceDE w:val="0"/>
      <w:autoSpaceDN w:val="0"/>
      <w:adjustRightInd w:val="0"/>
      <w:spacing w:after="0" w:line="288" w:lineRule="auto"/>
      <w:ind w:left="454" w:hanging="227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21"/>
      <w:szCs w:val="21"/>
      <w:lang w:eastAsia="pl-PL"/>
    </w:rPr>
  </w:style>
  <w:style w:type="paragraph" w:customStyle="1" w:styleId="Tekstprzypisudolnego">
    <w:name w:val="*Tekst przypisu dolnego"/>
    <w:basedOn w:val="Normalny"/>
    <w:rsid w:val="00BE226B"/>
    <w:pPr>
      <w:widowControl w:val="0"/>
      <w:tabs>
        <w:tab w:val="left" w:pos="198"/>
      </w:tabs>
      <w:autoSpaceDE w:val="0"/>
      <w:autoSpaceDN w:val="0"/>
      <w:adjustRightInd w:val="0"/>
      <w:spacing w:after="0" w:line="288" w:lineRule="auto"/>
      <w:ind w:left="198" w:hanging="198"/>
      <w:jc w:val="both"/>
      <w:textAlignment w:val="center"/>
    </w:pPr>
    <w:rPr>
      <w:rFonts w:ascii="ZapfCalligrPL" w:eastAsia="Times New Roman" w:hAnsi="ZapfCalligrPL" w:cs="ZapfCalligrPL"/>
      <w:color w:val="000000"/>
      <w:w w:val="90"/>
      <w:sz w:val="16"/>
      <w:szCs w:val="16"/>
      <w:lang w:eastAsia="pl-PL"/>
    </w:rPr>
  </w:style>
  <w:style w:type="paragraph" w:customStyle="1" w:styleId="boczek">
    <w:name w:val="*boczek"/>
    <w:basedOn w:val="Normalny"/>
    <w:rsid w:val="00BE226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autoSpaceDE w:val="0"/>
      <w:autoSpaceDN w:val="0"/>
      <w:adjustRightInd w:val="0"/>
      <w:spacing w:after="0" w:line="256" w:lineRule="atLeast"/>
      <w:jc w:val="right"/>
      <w:textAlignment w:val="center"/>
    </w:pPr>
    <w:rPr>
      <w:rFonts w:ascii="EFN Bureau" w:eastAsia="Times New Roman" w:hAnsi="EFN Bureau" w:cs="EFN Bureau"/>
      <w:b/>
      <w:bCs/>
      <w:color w:val="000000"/>
      <w:sz w:val="20"/>
      <w:szCs w:val="20"/>
      <w:lang w:eastAsia="pl-PL"/>
    </w:rPr>
  </w:style>
  <w:style w:type="paragraph" w:styleId="Tekstprzypisudolnego0">
    <w:name w:val="footnote text"/>
    <w:basedOn w:val="Normalny"/>
    <w:link w:val="TekstprzypisudolnegoZnak"/>
    <w:uiPriority w:val="99"/>
    <w:semiHidden/>
    <w:unhideWhenUsed/>
    <w:rsid w:val="00527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0"/>
    <w:uiPriority w:val="99"/>
    <w:semiHidden/>
    <w:rsid w:val="00527BDD"/>
    <w:rPr>
      <w:sz w:val="20"/>
      <w:szCs w:val="20"/>
    </w:rPr>
  </w:style>
  <w:style w:type="character" w:styleId="Odwoanieprzypisudolnego">
    <w:name w:val="footnote reference"/>
    <w:basedOn w:val="Domylnaczcionkaakapitu"/>
    <w:rsid w:val="00527B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5E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DA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E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A81"/>
  </w:style>
  <w:style w:type="paragraph" w:styleId="Stopka">
    <w:name w:val="footer"/>
    <w:basedOn w:val="Normalny"/>
    <w:link w:val="StopkaZnak"/>
    <w:uiPriority w:val="99"/>
    <w:unhideWhenUsed/>
    <w:rsid w:val="00DE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2149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16</cp:revision>
  <dcterms:created xsi:type="dcterms:W3CDTF">2021-01-07T09:37:00Z</dcterms:created>
  <dcterms:modified xsi:type="dcterms:W3CDTF">2021-01-08T20:21:00Z</dcterms:modified>
</cp:coreProperties>
</file>