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C1C" w:rsidRDefault="005C4C1C" w:rsidP="00394B84">
      <w:pPr>
        <w:spacing w:after="0" w:line="360" w:lineRule="auto"/>
        <w:jc w:val="center"/>
        <w:rPr>
          <w:rFonts w:ascii="Times New Roman" w:eastAsia="Calibri" w:hAnsi="Times New Roman" w:cs="Times New Roman"/>
          <w:b/>
          <w:sz w:val="32"/>
          <w:szCs w:val="32"/>
        </w:rPr>
      </w:pPr>
    </w:p>
    <w:p w:rsidR="00394B84" w:rsidRPr="00394B84" w:rsidRDefault="00A4107A" w:rsidP="00394B84">
      <w:pPr>
        <w:spacing w:after="0" w:line="36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LIKWIDACJA</w:t>
      </w:r>
      <w:r w:rsidR="00394B84" w:rsidRPr="00394B84">
        <w:rPr>
          <w:rFonts w:ascii="Times New Roman" w:eastAsia="Calibri" w:hAnsi="Times New Roman" w:cs="Times New Roman"/>
          <w:b/>
          <w:sz w:val="32"/>
          <w:szCs w:val="32"/>
        </w:rPr>
        <w:t xml:space="preserve"> MASY UPADŁOŚCI</w:t>
      </w:r>
    </w:p>
    <w:p w:rsidR="00394B84" w:rsidRDefault="00394B84" w:rsidP="00394B84">
      <w:pPr>
        <w:spacing w:after="0" w:line="360" w:lineRule="auto"/>
        <w:jc w:val="both"/>
        <w:rPr>
          <w:rFonts w:ascii="Times New Roman" w:eastAsia="Calibri" w:hAnsi="Times New Roman" w:cs="Times New Roman"/>
          <w:sz w:val="36"/>
          <w:szCs w:val="36"/>
        </w:rPr>
      </w:pPr>
    </w:p>
    <w:p w:rsidR="00A4107A" w:rsidRPr="00394B84" w:rsidRDefault="00A4107A" w:rsidP="00394B84">
      <w:pPr>
        <w:spacing w:after="0" w:line="360" w:lineRule="auto"/>
        <w:jc w:val="both"/>
        <w:rPr>
          <w:rFonts w:ascii="Times New Roman" w:eastAsia="Calibri" w:hAnsi="Times New Roman" w:cs="Times New Roman"/>
          <w:sz w:val="24"/>
          <w:szCs w:val="24"/>
        </w:rPr>
      </w:pP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b/>
          <w:sz w:val="24"/>
          <w:szCs w:val="24"/>
        </w:rPr>
        <w:t>1. Zagadnienia ogólne</w:t>
      </w:r>
    </w:p>
    <w:p w:rsidR="00394B84" w:rsidRPr="00394B84" w:rsidRDefault="00394B84" w:rsidP="00394B84">
      <w:pPr>
        <w:spacing w:after="0" w:line="360" w:lineRule="auto"/>
        <w:jc w:val="both"/>
        <w:rPr>
          <w:rFonts w:ascii="Times New Roman" w:eastAsia="Calibri" w:hAnsi="Times New Roman" w:cs="Times New Roman"/>
          <w:sz w:val="24"/>
          <w:szCs w:val="24"/>
        </w:rPr>
      </w:pP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 xml:space="preserve">Wśród faz postępowania upadłościowego </w:t>
      </w:r>
      <w:r w:rsidR="00A4107A">
        <w:rPr>
          <w:rFonts w:ascii="Times New Roman" w:eastAsia="Calibri" w:hAnsi="Times New Roman" w:cs="Times New Roman"/>
          <w:sz w:val="24"/>
          <w:szCs w:val="24"/>
        </w:rPr>
        <w:t>jednymi z najistotniejszych (z punktu widzenia wierzycieli)</w:t>
      </w:r>
      <w:r w:rsidRPr="00394B84">
        <w:rPr>
          <w:rFonts w:ascii="Times New Roman" w:eastAsia="Calibri" w:hAnsi="Times New Roman" w:cs="Times New Roman"/>
          <w:sz w:val="24"/>
          <w:szCs w:val="24"/>
        </w:rPr>
        <w:t xml:space="preserve"> są te etapy, w których toku następuje likwidacja masy upadłości oraz podział funduszów masy upadłości, będący ostatnią fazą tego postępowania. Zaspokojenie wierzycieli w postępowaniu upadłościowym odbywa się bowiem co do zasady poprzez podział uzyskanych w drodze likwidacji masy upadłości funduszów masy upadłości, w oparciu o plan podziału.</w:t>
      </w:r>
    </w:p>
    <w:p w:rsidR="00A4107A"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r>
      <w:r w:rsidR="00A4107A">
        <w:rPr>
          <w:rFonts w:ascii="Times New Roman" w:eastAsia="Calibri" w:hAnsi="Times New Roman" w:cs="Times New Roman"/>
          <w:sz w:val="24"/>
          <w:szCs w:val="24"/>
        </w:rPr>
        <w:t xml:space="preserve">Zaznaczyć przy tym należy, że </w:t>
      </w:r>
      <w:r w:rsidRPr="00394B84">
        <w:rPr>
          <w:rFonts w:ascii="Times New Roman" w:eastAsia="Calibri" w:hAnsi="Times New Roman" w:cs="Times New Roman"/>
          <w:sz w:val="24"/>
          <w:szCs w:val="24"/>
        </w:rPr>
        <w:t xml:space="preserve">na etapie likwidacji masy upadłości i zaspokajania roszczeń wierzycieli upadłego w największym stopniu ujawnia się szczególna, uprzywilejowana pozycja uczestniczących w postępowaniu upadłościowym wierzytelności zabezpieczonych hipoteką bądź zastawem. Związane jest to przede wszystkim z </w:t>
      </w:r>
      <w:r w:rsidR="00A4107A">
        <w:rPr>
          <w:rFonts w:ascii="Times New Roman" w:eastAsia="Calibri" w:hAnsi="Times New Roman" w:cs="Times New Roman"/>
          <w:sz w:val="24"/>
          <w:szCs w:val="24"/>
        </w:rPr>
        <w:t>przysługującym im w postępowaniu upadłościowym tzw.</w:t>
      </w:r>
      <w:r w:rsidRPr="00394B84">
        <w:rPr>
          <w:rFonts w:ascii="Times New Roman" w:eastAsia="Calibri" w:hAnsi="Times New Roman" w:cs="Times New Roman"/>
          <w:sz w:val="24"/>
          <w:szCs w:val="24"/>
        </w:rPr>
        <w:t xml:space="preserve"> </w:t>
      </w:r>
      <w:r w:rsidR="00A4107A">
        <w:rPr>
          <w:rFonts w:ascii="Times New Roman" w:eastAsia="Calibri" w:hAnsi="Times New Roman" w:cs="Times New Roman"/>
          <w:sz w:val="24"/>
          <w:szCs w:val="24"/>
        </w:rPr>
        <w:t>prawem</w:t>
      </w:r>
      <w:r w:rsidRPr="00394B84">
        <w:rPr>
          <w:rFonts w:ascii="Times New Roman" w:eastAsia="Calibri" w:hAnsi="Times New Roman" w:cs="Times New Roman"/>
          <w:sz w:val="24"/>
          <w:szCs w:val="24"/>
        </w:rPr>
        <w:t xml:space="preserve"> odrębności</w:t>
      </w:r>
      <w:r w:rsidR="00A4107A">
        <w:rPr>
          <w:rFonts w:ascii="Times New Roman" w:eastAsia="Calibri" w:hAnsi="Times New Roman" w:cs="Times New Roman"/>
          <w:sz w:val="24"/>
          <w:szCs w:val="24"/>
        </w:rPr>
        <w:t>, umożliwiającym</w:t>
      </w:r>
      <w:r w:rsidRPr="00394B84">
        <w:rPr>
          <w:rFonts w:ascii="Times New Roman" w:eastAsia="Calibri" w:hAnsi="Times New Roman" w:cs="Times New Roman"/>
          <w:sz w:val="24"/>
          <w:szCs w:val="24"/>
        </w:rPr>
        <w:t xml:space="preserve"> zaspokojenie tak zabezpieczonych wierzytelności poza normalnym trybem podziału funduszów masy upadłości. Należy </w:t>
      </w:r>
      <w:r w:rsidR="00A4107A">
        <w:rPr>
          <w:rFonts w:ascii="Times New Roman" w:eastAsia="Calibri" w:hAnsi="Times New Roman" w:cs="Times New Roman"/>
          <w:sz w:val="24"/>
          <w:szCs w:val="24"/>
        </w:rPr>
        <w:t xml:space="preserve">także </w:t>
      </w:r>
      <w:r w:rsidRPr="00394B84">
        <w:rPr>
          <w:rFonts w:ascii="Times New Roman" w:eastAsia="Calibri" w:hAnsi="Times New Roman" w:cs="Times New Roman"/>
          <w:sz w:val="24"/>
          <w:szCs w:val="24"/>
        </w:rPr>
        <w:t>zwrócić jednak uwagę na fakt, iż w przypadku z</w:t>
      </w:r>
      <w:r w:rsidR="00A4107A">
        <w:rPr>
          <w:rFonts w:ascii="Times New Roman" w:eastAsia="Calibri" w:hAnsi="Times New Roman" w:cs="Times New Roman"/>
          <w:sz w:val="24"/>
          <w:szCs w:val="24"/>
        </w:rPr>
        <w:t>astawu rejestrowego przepisy PU</w:t>
      </w:r>
      <w:r w:rsidRPr="00394B84">
        <w:rPr>
          <w:rFonts w:ascii="Times New Roman" w:eastAsia="Calibri" w:hAnsi="Times New Roman" w:cs="Times New Roman"/>
          <w:sz w:val="24"/>
          <w:szCs w:val="24"/>
        </w:rPr>
        <w:t xml:space="preserve"> dopuszczają zaspokojenie wierzyciela w którymś ze szczególnych trybów przewidywanych w przepisach </w:t>
      </w:r>
      <w:r w:rsidR="00A4107A">
        <w:rPr>
          <w:rFonts w:ascii="Times New Roman" w:eastAsia="Calibri" w:hAnsi="Times New Roman" w:cs="Times New Roman"/>
          <w:sz w:val="24"/>
          <w:szCs w:val="24"/>
        </w:rPr>
        <w:t xml:space="preserve">ustawy o zastawie rejestrowym i rejestrze zastawów </w:t>
      </w:r>
      <w:r w:rsidRPr="00394B84">
        <w:rPr>
          <w:rFonts w:ascii="Times New Roman" w:eastAsia="Calibri" w:hAnsi="Times New Roman" w:cs="Times New Roman"/>
          <w:sz w:val="24"/>
          <w:szCs w:val="24"/>
        </w:rPr>
        <w:t>już na etapie likwidacji masy upadłości przez syndyka.</w:t>
      </w:r>
      <w:r w:rsidRPr="00394B84">
        <w:rPr>
          <w:rFonts w:ascii="Times New Roman" w:eastAsia="Calibri" w:hAnsi="Times New Roman" w:cs="Times New Roman"/>
          <w:sz w:val="24"/>
          <w:szCs w:val="24"/>
        </w:rPr>
        <w:tab/>
      </w:r>
    </w:p>
    <w:p w:rsidR="00394B84" w:rsidRPr="00394B84" w:rsidRDefault="00A4107A" w:rsidP="00394B8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394B84" w:rsidRPr="00394B84">
        <w:rPr>
          <w:rFonts w:ascii="Times New Roman" w:eastAsia="Calibri" w:hAnsi="Times New Roman" w:cs="Times New Roman"/>
          <w:b/>
          <w:sz w:val="24"/>
          <w:szCs w:val="24"/>
        </w:rPr>
        <w:t xml:space="preserve"> Pojęcie likwidacji masy upadłości i czynności przygotowawcze</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 xml:space="preserve"> </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Likwidacja masy upadłości oznacza sprzedaż jej poszczególnych składników</w:t>
      </w:r>
      <w:r w:rsidR="000422B9">
        <w:rPr>
          <w:rFonts w:ascii="Times New Roman" w:eastAsia="Calibri" w:hAnsi="Times New Roman" w:cs="Times New Roman"/>
          <w:sz w:val="24"/>
          <w:szCs w:val="24"/>
        </w:rPr>
        <w:t xml:space="preserve"> przez syndyka, w celu uzyskania</w:t>
      </w:r>
      <w:r w:rsidRPr="00394B84">
        <w:rPr>
          <w:rFonts w:ascii="Times New Roman" w:eastAsia="Calibri" w:hAnsi="Times New Roman" w:cs="Times New Roman"/>
          <w:sz w:val="24"/>
          <w:szCs w:val="24"/>
        </w:rPr>
        <w:t xml:space="preserve"> funduszów masy upadłości, z których nastąpi zaspokojenia wierzycieli upadłego, zgodnie z zasadami ustalonymi w przepisach PU.  </w:t>
      </w:r>
      <w:r w:rsidRPr="00394B84">
        <w:rPr>
          <w:rFonts w:ascii="Times New Roman" w:eastAsia="Calibri" w:hAnsi="Times New Roman" w:cs="Times New Roman"/>
          <w:sz w:val="24"/>
          <w:szCs w:val="24"/>
        </w:rPr>
        <w:tab/>
        <w:t>Przygotowania do likwidacji majątku upadłego syndyk powinien rozpocząć niezwłocznie po ogłoszeniu upadłości likwidacyjnej, przystępując</w:t>
      </w:r>
      <w:r w:rsidR="00A4107A">
        <w:rPr>
          <w:rFonts w:ascii="Times New Roman" w:eastAsia="Calibri" w:hAnsi="Times New Roman" w:cs="Times New Roman"/>
          <w:sz w:val="24"/>
          <w:szCs w:val="24"/>
        </w:rPr>
        <w:t>, zgodnie z art. 306 PU</w:t>
      </w:r>
      <w:r w:rsidRPr="00394B84">
        <w:rPr>
          <w:rFonts w:ascii="Times New Roman" w:eastAsia="Calibri" w:hAnsi="Times New Roman" w:cs="Times New Roman"/>
          <w:sz w:val="24"/>
          <w:szCs w:val="24"/>
        </w:rPr>
        <w:t>, do dokonania następujących czynności:</w:t>
      </w:r>
    </w:p>
    <w:p w:rsidR="00394B84" w:rsidRPr="00394B84" w:rsidRDefault="00394B84" w:rsidP="00394B84">
      <w:pPr>
        <w:numPr>
          <w:ilvl w:val="0"/>
          <w:numId w:val="2"/>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Spisu inwentarza;</w:t>
      </w:r>
    </w:p>
    <w:p w:rsidR="00394B84" w:rsidRPr="00394B84" w:rsidRDefault="00394B84" w:rsidP="00394B84">
      <w:pPr>
        <w:numPr>
          <w:ilvl w:val="0"/>
          <w:numId w:val="2"/>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lastRenderedPageBreak/>
        <w:t>Oszacowania masy upadłości;</w:t>
      </w:r>
    </w:p>
    <w:p w:rsidR="00394B84" w:rsidRPr="00394B84" w:rsidRDefault="00394B84" w:rsidP="00394B84">
      <w:pPr>
        <w:numPr>
          <w:ilvl w:val="0"/>
          <w:numId w:val="2"/>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Sporządzenia planu likwidacyjnego.</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Plan likwidacyjny powinien zawierać element</w:t>
      </w:r>
      <w:r w:rsidR="00A4107A">
        <w:rPr>
          <w:rFonts w:ascii="Times New Roman" w:eastAsia="Calibri" w:hAnsi="Times New Roman" w:cs="Times New Roman"/>
          <w:sz w:val="24"/>
          <w:szCs w:val="24"/>
        </w:rPr>
        <w:t>y wskazane w treści art. 306 PU</w:t>
      </w:r>
      <w:r w:rsidRPr="00394B84">
        <w:rPr>
          <w:rFonts w:ascii="Times New Roman" w:eastAsia="Calibri" w:hAnsi="Times New Roman" w:cs="Times New Roman"/>
          <w:sz w:val="24"/>
          <w:szCs w:val="24"/>
        </w:rPr>
        <w:t>, a mianowicie:</w:t>
      </w:r>
    </w:p>
    <w:p w:rsidR="00394B84" w:rsidRPr="00394B84" w:rsidRDefault="00394B84" w:rsidP="00394B84">
      <w:pPr>
        <w:numPr>
          <w:ilvl w:val="0"/>
          <w:numId w:val="44"/>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Proponowane sposoby sprzedaży składników majątku upadłego, w szczególności jego przedsiębiorstwa;</w:t>
      </w:r>
    </w:p>
    <w:p w:rsidR="00394B84" w:rsidRPr="00394B84" w:rsidRDefault="00394B84" w:rsidP="00394B84">
      <w:pPr>
        <w:numPr>
          <w:ilvl w:val="0"/>
          <w:numId w:val="44"/>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Termin sprzedaży;</w:t>
      </w:r>
    </w:p>
    <w:p w:rsidR="00394B84" w:rsidRPr="00394B84" w:rsidRDefault="00394B84" w:rsidP="00394B84">
      <w:pPr>
        <w:numPr>
          <w:ilvl w:val="0"/>
          <w:numId w:val="44"/>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Preliminarz wydatków;</w:t>
      </w:r>
    </w:p>
    <w:p w:rsidR="00394B84" w:rsidRPr="00394B84" w:rsidRDefault="00394B84" w:rsidP="00394B84">
      <w:pPr>
        <w:numPr>
          <w:ilvl w:val="0"/>
          <w:numId w:val="44"/>
        </w:numPr>
        <w:spacing w:after="0" w:line="360" w:lineRule="auto"/>
        <w:ind w:left="426" w:hanging="426"/>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Ekonomiczne uzasadnienie ewentualnego dalszego prowadzenia działalności gospodarczej,</w:t>
      </w:r>
    </w:p>
    <w:p w:rsidR="00394B84" w:rsidRPr="00394B84" w:rsidRDefault="00394B84" w:rsidP="00394B84">
      <w:pPr>
        <w:spacing w:after="0" w:line="360" w:lineRule="auto"/>
        <w:ind w:left="720" w:hanging="720"/>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przy czym wyliczenie to ma charakter jedynie przykładowy.</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 xml:space="preserve">Spis inwentarza wraz z planem likwidacyjnym syndyk składa </w:t>
      </w:r>
      <w:proofErr w:type="spellStart"/>
      <w:r w:rsidRPr="00394B84">
        <w:rPr>
          <w:rFonts w:ascii="Times New Roman" w:eastAsia="Calibri" w:hAnsi="Times New Roman" w:cs="Times New Roman"/>
          <w:sz w:val="24"/>
          <w:szCs w:val="24"/>
        </w:rPr>
        <w:t>sędziemu–komisarzowi</w:t>
      </w:r>
      <w:proofErr w:type="spellEnd"/>
      <w:r w:rsidRPr="00394B84">
        <w:rPr>
          <w:rFonts w:ascii="Times New Roman" w:eastAsia="Calibri" w:hAnsi="Times New Roman" w:cs="Times New Roman"/>
          <w:sz w:val="24"/>
          <w:szCs w:val="24"/>
        </w:rPr>
        <w:t xml:space="preserve"> w</w:t>
      </w:r>
      <w:r w:rsidR="00A4107A">
        <w:rPr>
          <w:rFonts w:ascii="Times New Roman" w:eastAsia="Calibri" w:hAnsi="Times New Roman" w:cs="Times New Roman"/>
          <w:sz w:val="24"/>
          <w:szCs w:val="24"/>
        </w:rPr>
        <w:t>e wskazanym w art. 306 PU</w:t>
      </w:r>
      <w:r w:rsidRPr="00394B84">
        <w:rPr>
          <w:rFonts w:ascii="Times New Roman" w:eastAsia="Calibri" w:hAnsi="Times New Roman" w:cs="Times New Roman"/>
          <w:sz w:val="24"/>
          <w:szCs w:val="24"/>
        </w:rPr>
        <w:t xml:space="preserve"> terminie </w:t>
      </w:r>
      <w:r w:rsidR="00A4107A">
        <w:rPr>
          <w:rFonts w:ascii="Times New Roman" w:eastAsia="Calibri" w:hAnsi="Times New Roman" w:cs="Times New Roman"/>
          <w:sz w:val="24"/>
          <w:szCs w:val="24"/>
        </w:rPr>
        <w:t>trzydziestu dni</w:t>
      </w:r>
      <w:r w:rsidRPr="00394B84">
        <w:rPr>
          <w:rFonts w:ascii="Times New Roman" w:eastAsia="Calibri" w:hAnsi="Times New Roman" w:cs="Times New Roman"/>
          <w:sz w:val="24"/>
          <w:szCs w:val="24"/>
        </w:rPr>
        <w:t xml:space="preserve"> od dnia ogłoszenia upadłości. Ponadt</w:t>
      </w:r>
      <w:r w:rsidR="00A4107A">
        <w:rPr>
          <w:rFonts w:ascii="Times New Roman" w:eastAsia="Calibri" w:hAnsi="Times New Roman" w:cs="Times New Roman"/>
          <w:sz w:val="24"/>
          <w:szCs w:val="24"/>
        </w:rPr>
        <w:t>o, zgodnie z art. 307 ust. 1 PU</w:t>
      </w:r>
      <w:r w:rsidRPr="00394B84">
        <w:rPr>
          <w:rFonts w:ascii="Times New Roman" w:eastAsia="Calibri" w:hAnsi="Times New Roman" w:cs="Times New Roman"/>
          <w:sz w:val="24"/>
          <w:szCs w:val="24"/>
        </w:rPr>
        <w:t>, na podstawie spisu inwentarza i innych dokumentów upadłego, oraz oszacowania, syndyk sporządza sprawozdanie finansowe na dzień poprzedzający ogłoszenie upadłości i niezwłocznie przedkłada je sędziemu-komisarzowi. Sprawozdanie to składa się z bilansu, rachunku wyników oraz informacji dodatkowej obejmującej wprowadzenie do sprawozdania oraz dodatkowe informacje i objaśnienia.  Zaznaczyć przy tym należy, że aczkolwiek sprawozdanie podpisuje syndyk, to sporządza je w imieniu i na rzecz upadłego</w:t>
      </w:r>
      <w:r w:rsidR="007D6DE9">
        <w:rPr>
          <w:rFonts w:ascii="Times New Roman" w:eastAsia="Calibri" w:hAnsi="Times New Roman" w:cs="Times New Roman"/>
          <w:sz w:val="24"/>
          <w:szCs w:val="24"/>
        </w:rPr>
        <w:t>,</w:t>
      </w:r>
      <w:r w:rsidRPr="00394B84">
        <w:rPr>
          <w:rFonts w:ascii="Times New Roman" w:eastAsia="Calibri" w:hAnsi="Times New Roman" w:cs="Times New Roman"/>
          <w:sz w:val="24"/>
          <w:szCs w:val="24"/>
        </w:rPr>
        <w:t xml:space="preserve"> jako właściciela majątku wchodzącego w skład masy upadłości. W przypadku, gdy z jakichkolwiek przyczyn syndyk nie może sporządzić spisu inwentarza, oszacowania, planu likwidacji lub sprawozdania finansowego, we wskazanym w art. 306 </w:t>
      </w:r>
      <w:r w:rsidR="00A4107A">
        <w:rPr>
          <w:rFonts w:ascii="Times New Roman" w:eastAsia="Calibri" w:hAnsi="Times New Roman" w:cs="Times New Roman"/>
          <w:sz w:val="24"/>
          <w:szCs w:val="24"/>
        </w:rPr>
        <w:t>PU</w:t>
      </w:r>
      <w:r w:rsidRPr="00394B84">
        <w:rPr>
          <w:rFonts w:ascii="Times New Roman" w:eastAsia="Calibri" w:hAnsi="Times New Roman" w:cs="Times New Roman"/>
          <w:sz w:val="24"/>
          <w:szCs w:val="24"/>
        </w:rPr>
        <w:t xml:space="preserve"> terminie, wówczas</w:t>
      </w:r>
      <w:r w:rsidR="00A4107A">
        <w:rPr>
          <w:rFonts w:ascii="Times New Roman" w:eastAsia="Calibri" w:hAnsi="Times New Roman" w:cs="Times New Roman"/>
          <w:sz w:val="24"/>
          <w:szCs w:val="24"/>
        </w:rPr>
        <w:t>, zgodnie z art. 307  ust. 2 PU</w:t>
      </w:r>
      <w:r w:rsidRPr="00394B84">
        <w:rPr>
          <w:rFonts w:ascii="Times New Roman" w:eastAsia="Calibri" w:hAnsi="Times New Roman" w:cs="Times New Roman"/>
          <w:sz w:val="24"/>
          <w:szCs w:val="24"/>
        </w:rPr>
        <w:t>, składa on sędziemu-komisarzowi, w terminie miesiąca od dnia ogłoszenia upadłości, pisemne sprawozdanie ogólne o stanie masy upadłości i o możliwości zaspokojenia wierzycieli. Podkreślić należy, że złożenie tego sprawozdania nie zwalnia syndyka od obowiązku sporządzenia spisu inwentarza, oszacowania masy upadłości i planu likwidacji gdy tylko będzie to możliwe.</w:t>
      </w:r>
    </w:p>
    <w:p w:rsidR="00394B84" w:rsidRPr="00394B84" w:rsidRDefault="00394B84" w:rsidP="00394B84">
      <w:pPr>
        <w:spacing w:after="0" w:line="360" w:lineRule="auto"/>
        <w:jc w:val="both"/>
        <w:rPr>
          <w:rFonts w:ascii="Times New Roman" w:eastAsia="Calibri" w:hAnsi="Times New Roman" w:cs="Times New Roman"/>
          <w:sz w:val="24"/>
          <w:szCs w:val="24"/>
        </w:rPr>
      </w:pPr>
    </w:p>
    <w:p w:rsidR="00394B84" w:rsidRPr="00394B84" w:rsidRDefault="00394B84" w:rsidP="00394B84">
      <w:pPr>
        <w:spacing w:after="0" w:line="360" w:lineRule="auto"/>
        <w:jc w:val="both"/>
        <w:rPr>
          <w:rFonts w:ascii="Times New Roman" w:eastAsia="Calibri" w:hAnsi="Times New Roman" w:cs="Times New Roman"/>
          <w:b/>
          <w:sz w:val="24"/>
          <w:szCs w:val="24"/>
        </w:rPr>
      </w:pPr>
      <w:r w:rsidRPr="00394B84">
        <w:rPr>
          <w:rFonts w:ascii="Times New Roman" w:eastAsia="Calibri" w:hAnsi="Times New Roman" w:cs="Times New Roman"/>
          <w:b/>
          <w:sz w:val="24"/>
          <w:szCs w:val="24"/>
        </w:rPr>
        <w:t>2. Przebieg likwidacji masy upadłości – ogólna charakterystyka</w:t>
      </w:r>
    </w:p>
    <w:p w:rsidR="00394B84" w:rsidRPr="00394B84" w:rsidRDefault="00394B84" w:rsidP="00394B84">
      <w:pPr>
        <w:spacing w:after="0" w:line="360" w:lineRule="auto"/>
        <w:jc w:val="both"/>
        <w:rPr>
          <w:rFonts w:ascii="Times New Roman" w:eastAsia="Calibri" w:hAnsi="Times New Roman" w:cs="Times New Roman"/>
          <w:sz w:val="24"/>
          <w:szCs w:val="24"/>
        </w:rPr>
      </w:pPr>
    </w:p>
    <w:p w:rsidR="00394B84" w:rsidRPr="00394B84" w:rsidRDefault="00A5544C" w:rsidP="00394B8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308 PU</w:t>
      </w:r>
      <w:r w:rsidR="00394B84" w:rsidRPr="00394B84">
        <w:rPr>
          <w:rFonts w:ascii="Times New Roman" w:eastAsia="Calibri" w:hAnsi="Times New Roman" w:cs="Times New Roman"/>
          <w:sz w:val="24"/>
          <w:szCs w:val="24"/>
        </w:rPr>
        <w:t xml:space="preserve">, po sporządzeniu spisu inwentarza, i sprawozdania finansowego, albo po złożeniu pisemnego sprawozdania ogólnego syndyk przeprowadza likwidację masy upadłości. Rozpoczęcie likwidacji masy uzależnione jest zatem od dokonania przez syndyka powyższych czynności. Należy jednak zaznaczyć, że w oparciu </w:t>
      </w:r>
      <w:r>
        <w:rPr>
          <w:rFonts w:ascii="Times New Roman" w:eastAsia="Calibri" w:hAnsi="Times New Roman" w:cs="Times New Roman"/>
          <w:sz w:val="24"/>
          <w:szCs w:val="24"/>
        </w:rPr>
        <w:t xml:space="preserve">o art. 310 ust. </w:t>
      </w:r>
      <w:r>
        <w:rPr>
          <w:rFonts w:ascii="Times New Roman" w:eastAsia="Calibri" w:hAnsi="Times New Roman" w:cs="Times New Roman"/>
          <w:sz w:val="24"/>
          <w:szCs w:val="24"/>
        </w:rPr>
        <w:lastRenderedPageBreak/>
        <w:t>1 PU</w:t>
      </w:r>
      <w:r w:rsidR="00394B84" w:rsidRPr="00394B84">
        <w:rPr>
          <w:rFonts w:ascii="Times New Roman" w:eastAsia="Calibri" w:hAnsi="Times New Roman" w:cs="Times New Roman"/>
          <w:sz w:val="24"/>
          <w:szCs w:val="24"/>
        </w:rPr>
        <w:t xml:space="preserve">, syndyk może jeszcze przed rozpoczęciem likwidacji sprzedać </w:t>
      </w:r>
      <w:r>
        <w:rPr>
          <w:rFonts w:ascii="Times New Roman" w:eastAsia="Calibri" w:hAnsi="Times New Roman" w:cs="Times New Roman"/>
          <w:sz w:val="24"/>
          <w:szCs w:val="24"/>
        </w:rPr>
        <w:t xml:space="preserve">z wolnej ręki </w:t>
      </w:r>
      <w:r w:rsidR="00394B84" w:rsidRPr="00394B84">
        <w:rPr>
          <w:rFonts w:ascii="Times New Roman" w:eastAsia="Calibri" w:hAnsi="Times New Roman" w:cs="Times New Roman"/>
          <w:sz w:val="24"/>
          <w:szCs w:val="24"/>
        </w:rPr>
        <w:t>ruchomości</w:t>
      </w:r>
      <w:r>
        <w:rPr>
          <w:rFonts w:ascii="Times New Roman" w:eastAsia="Calibri" w:hAnsi="Times New Roman" w:cs="Times New Roman"/>
          <w:sz w:val="24"/>
          <w:szCs w:val="24"/>
        </w:rPr>
        <w:t xml:space="preserve"> (i to bez zezwolenia rady wierzycieli)</w:t>
      </w:r>
      <w:r w:rsidR="00394B84" w:rsidRPr="00394B84">
        <w:rPr>
          <w:rFonts w:ascii="Times New Roman" w:eastAsia="Calibri" w:hAnsi="Times New Roman" w:cs="Times New Roman"/>
          <w:sz w:val="24"/>
          <w:szCs w:val="24"/>
        </w:rPr>
        <w:t>, jeżeli jest to potrzebne na zaspokojenie kosztów postępowania. Przepis ten ma na celu umożliwienie jak najszybszego zdobycia środków niezbędnych do prowadzenia postępowania upadłościowego, zgodnie ze wzmiankowaną już zasadą, iż jego koszty powinny być finansowane z masy upadłości. Ponadto syndyk</w:t>
      </w:r>
      <w:r>
        <w:rPr>
          <w:rFonts w:ascii="Times New Roman" w:eastAsia="Calibri" w:hAnsi="Times New Roman" w:cs="Times New Roman"/>
          <w:sz w:val="24"/>
          <w:szCs w:val="24"/>
        </w:rPr>
        <w:t>, zgodnie z art. 310 ust. 1 PU</w:t>
      </w:r>
      <w:r w:rsidR="00394B84" w:rsidRPr="00394B84">
        <w:rPr>
          <w:rFonts w:ascii="Times New Roman" w:eastAsia="Calibri" w:hAnsi="Times New Roman" w:cs="Times New Roman"/>
          <w:sz w:val="24"/>
          <w:szCs w:val="24"/>
        </w:rPr>
        <w:t xml:space="preserve">, może sprzedać ruchomości, które ulegają szybkiemu zepsuciu lub wskutek opóźnienia sprzedaży straciłyby znacznie na wartości albo których przechowanie pociąga za sobą koszty zbyt wysokie w stosunku do ich wartości. </w:t>
      </w:r>
    </w:p>
    <w:p w:rsidR="00394B84" w:rsidRPr="00394B84" w:rsidRDefault="00394B84" w:rsidP="000422B9">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 xml:space="preserve"> </w:t>
      </w:r>
      <w:r w:rsidRPr="00394B84">
        <w:rPr>
          <w:rFonts w:ascii="Times New Roman" w:eastAsia="Calibri" w:hAnsi="Times New Roman" w:cs="Times New Roman"/>
          <w:sz w:val="24"/>
          <w:szCs w:val="24"/>
        </w:rPr>
        <w:tab/>
        <w:t xml:space="preserve">Sposób przeprowadzenia likwidacji masy upadłości, poprzez spieniężenie poszczególnych należących do niej składników majątkowych, w sposób ogólny wyznaczają regulacje zawarte w art. 311 ust. 1 – 3 PU. Zgodnie z art. 311 ust. 1 </w:t>
      </w:r>
      <w:r w:rsidR="00A5544C">
        <w:rPr>
          <w:rFonts w:ascii="Times New Roman" w:eastAsia="Calibri" w:hAnsi="Times New Roman" w:cs="Times New Roman"/>
          <w:sz w:val="24"/>
          <w:szCs w:val="24"/>
        </w:rPr>
        <w:t>PU</w:t>
      </w:r>
      <w:r w:rsidRPr="00394B84">
        <w:rPr>
          <w:rFonts w:ascii="Times New Roman" w:eastAsia="Calibri" w:hAnsi="Times New Roman" w:cs="Times New Roman"/>
          <w:sz w:val="24"/>
          <w:szCs w:val="24"/>
        </w:rPr>
        <w:t xml:space="preserve">, likwidacji masy upadłości syndyk dokonuje poprzez sprzedaż </w:t>
      </w:r>
      <w:r w:rsidR="000422B9">
        <w:rPr>
          <w:rFonts w:ascii="Times New Roman" w:eastAsia="Calibri" w:hAnsi="Times New Roman" w:cs="Times New Roman"/>
          <w:sz w:val="24"/>
          <w:szCs w:val="24"/>
        </w:rPr>
        <w:t xml:space="preserve">z </w:t>
      </w:r>
      <w:r w:rsidR="000422B9" w:rsidRPr="000422B9">
        <w:rPr>
          <w:rFonts w:ascii="Times New Roman" w:eastAsia="Calibri" w:hAnsi="Times New Roman" w:cs="Times New Roman"/>
          <w:sz w:val="24"/>
          <w:szCs w:val="24"/>
        </w:rPr>
        <w:t>wolnej</w:t>
      </w:r>
      <w:r w:rsidR="000422B9">
        <w:rPr>
          <w:rFonts w:ascii="Times New Roman" w:eastAsia="Calibri" w:hAnsi="Times New Roman" w:cs="Times New Roman"/>
          <w:sz w:val="24"/>
          <w:szCs w:val="24"/>
        </w:rPr>
        <w:t xml:space="preserve"> </w:t>
      </w:r>
      <w:r w:rsidR="000422B9" w:rsidRPr="000422B9">
        <w:rPr>
          <w:rFonts w:ascii="Times New Roman" w:eastAsia="Calibri" w:hAnsi="Times New Roman" w:cs="Times New Roman"/>
          <w:sz w:val="24"/>
          <w:szCs w:val="24"/>
        </w:rPr>
        <w:t>ręki lub w drodze przetargu lub aukcji</w:t>
      </w:r>
      <w:r w:rsidR="000422B9">
        <w:rPr>
          <w:rFonts w:ascii="Times New Roman" w:eastAsia="Calibri" w:hAnsi="Times New Roman" w:cs="Times New Roman"/>
          <w:sz w:val="24"/>
          <w:szCs w:val="24"/>
        </w:rPr>
        <w:t xml:space="preserve"> </w:t>
      </w:r>
      <w:r w:rsidRPr="00394B84">
        <w:rPr>
          <w:rFonts w:ascii="Times New Roman" w:eastAsia="Calibri" w:hAnsi="Times New Roman" w:cs="Times New Roman"/>
          <w:sz w:val="24"/>
          <w:szCs w:val="24"/>
        </w:rPr>
        <w:t xml:space="preserve">przedsiębiorstwa upadłego w całości lub jego zorganizowanych części, sprzedaż wchodzących w skład masy upadłości nieruchomości i ruchomości, przez ściągnięcie wierzytelności od dłużników upadłego i wykonanie innych jego praw majątkowych wchodzących w skład jego masy upadłości lub ich zbycie. </w:t>
      </w:r>
      <w:r w:rsidR="00A5544C">
        <w:rPr>
          <w:rFonts w:ascii="Times New Roman" w:eastAsia="Calibri" w:hAnsi="Times New Roman" w:cs="Times New Roman"/>
          <w:sz w:val="24"/>
          <w:szCs w:val="24"/>
        </w:rPr>
        <w:t xml:space="preserve">Warto przy tym nadmienić, że w myśl art. 311 ust. 1a PU </w:t>
      </w:r>
      <w:r w:rsidR="00A5544C" w:rsidRPr="00A5544C">
        <w:rPr>
          <w:rFonts w:ascii="Times New Roman" w:eastAsia="Calibri" w:hAnsi="Times New Roman" w:cs="Times New Roman"/>
          <w:sz w:val="24"/>
          <w:szCs w:val="24"/>
        </w:rPr>
        <w:t>Skarbowi Państwa reprezentowanemu przez Ministra Obrony Narodowej</w:t>
      </w:r>
      <w:r w:rsidR="00A5544C">
        <w:rPr>
          <w:rFonts w:ascii="Times New Roman" w:eastAsia="Calibri" w:hAnsi="Times New Roman" w:cs="Times New Roman"/>
          <w:sz w:val="24"/>
          <w:szCs w:val="24"/>
        </w:rPr>
        <w:t xml:space="preserve"> </w:t>
      </w:r>
      <w:r w:rsidR="00A5544C" w:rsidRPr="00A5544C">
        <w:rPr>
          <w:rFonts w:ascii="Times New Roman" w:eastAsia="Calibri" w:hAnsi="Times New Roman" w:cs="Times New Roman"/>
          <w:sz w:val="24"/>
          <w:szCs w:val="24"/>
        </w:rPr>
        <w:t>przysługuje prawo wykupu składników majątku służących do prowadzenia</w:t>
      </w:r>
      <w:r w:rsidR="00A5544C">
        <w:rPr>
          <w:rFonts w:ascii="Times New Roman" w:eastAsia="Calibri" w:hAnsi="Times New Roman" w:cs="Times New Roman"/>
          <w:sz w:val="24"/>
          <w:szCs w:val="24"/>
        </w:rPr>
        <w:t xml:space="preserve"> </w:t>
      </w:r>
      <w:r w:rsidR="00A5544C" w:rsidRPr="00A5544C">
        <w:rPr>
          <w:rFonts w:ascii="Times New Roman" w:eastAsia="Calibri" w:hAnsi="Times New Roman" w:cs="Times New Roman"/>
          <w:sz w:val="24"/>
          <w:szCs w:val="24"/>
        </w:rPr>
        <w:t>działalności w dziedzinie obronności i bezpieczeństwa państwa</w:t>
      </w:r>
      <w:r w:rsidR="00A5544C">
        <w:rPr>
          <w:rFonts w:ascii="Times New Roman" w:eastAsia="Calibri" w:hAnsi="Times New Roman" w:cs="Times New Roman"/>
          <w:sz w:val="24"/>
          <w:szCs w:val="24"/>
        </w:rPr>
        <w:t>.</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P</w:t>
      </w:r>
      <w:r w:rsidR="00A5544C">
        <w:rPr>
          <w:rFonts w:ascii="Times New Roman" w:eastAsia="Calibri" w:hAnsi="Times New Roman" w:cs="Times New Roman"/>
          <w:sz w:val="24"/>
          <w:szCs w:val="24"/>
        </w:rPr>
        <w:t>rzepisy PU</w:t>
      </w:r>
      <w:r w:rsidRPr="00394B84">
        <w:rPr>
          <w:rFonts w:ascii="Times New Roman" w:eastAsia="Calibri" w:hAnsi="Times New Roman" w:cs="Times New Roman"/>
          <w:sz w:val="24"/>
          <w:szCs w:val="24"/>
        </w:rPr>
        <w:t xml:space="preserve"> nie określają kolejności likwidacji poszczególnych składników masy upadłości, niemniej porządek czynności podejmowanych w jej ramach przez syndyka określony jest w planie likwidacyjnym i powinien być z nim zgodny. Ponadto przepisy </w:t>
      </w:r>
      <w:r w:rsidR="00A5544C">
        <w:rPr>
          <w:rFonts w:ascii="Times New Roman" w:eastAsia="Calibri" w:hAnsi="Times New Roman" w:cs="Times New Roman"/>
          <w:sz w:val="24"/>
          <w:szCs w:val="24"/>
        </w:rPr>
        <w:t>art. 316 – 334 PU</w:t>
      </w:r>
      <w:r w:rsidRPr="00394B84">
        <w:rPr>
          <w:rFonts w:ascii="Times New Roman" w:eastAsia="Calibri" w:hAnsi="Times New Roman" w:cs="Times New Roman"/>
          <w:sz w:val="24"/>
          <w:szCs w:val="24"/>
        </w:rPr>
        <w:t>, wskazując zasady i tryb dokonywania likwidacji masy upadłości, w praktyce niejednokrotnie implikują zachowanie przez syndyka określonej kolejności działań zmierzających do sprzedaży składników wchodzących w skład masy upadłości.</w:t>
      </w:r>
    </w:p>
    <w:p w:rsidR="00A5544C"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 xml:space="preserve">Preferowanym przez prawo upadłościowe sposobem likwidacji masy upadłości jest zbycie przedsiębiorstwa dłużnika w całości lub też zbycie jego zorganizowanych części, nie zawsze jednak jest ono możliwe. Dopiero w sytuacji, gdy sprzedaż przedsiębiorstwa dłużnika jako całości lub jego zorganizowanych części nie jest możliwa, syndyk dokonuje stopniowej likwidacji poszczególnych składników majątku upadłego, poprzez sprzedaż nieruchomości i rzeczy ruchomych, ściągnięcie wierzytelności upadłego (lub ich zbycie, gdy ściągnięcie napotyka przeszkody albo roszczenie nie jest jeszcze wymagalne) oraz wykonanie albo zbycie innych praw majątkowych upadłego. </w:t>
      </w:r>
    </w:p>
    <w:p w:rsidR="00394B84" w:rsidRPr="00394B84" w:rsidRDefault="00A5544C" w:rsidP="00A5544C">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Syndyk dokonuje </w:t>
      </w:r>
      <w:r w:rsidR="00394B84" w:rsidRPr="00394B84">
        <w:rPr>
          <w:rFonts w:ascii="Times New Roman" w:eastAsia="Calibri" w:hAnsi="Times New Roman" w:cs="Times New Roman"/>
          <w:sz w:val="24"/>
          <w:szCs w:val="24"/>
        </w:rPr>
        <w:t>również</w:t>
      </w:r>
      <w:r>
        <w:rPr>
          <w:rFonts w:ascii="Times New Roman" w:eastAsia="Calibri" w:hAnsi="Times New Roman" w:cs="Times New Roman"/>
          <w:sz w:val="24"/>
          <w:szCs w:val="24"/>
        </w:rPr>
        <w:t xml:space="preserve"> co do zasady</w:t>
      </w:r>
      <w:r w:rsidR="00394B84" w:rsidRPr="00394B84">
        <w:rPr>
          <w:rFonts w:ascii="Times New Roman" w:eastAsia="Calibri" w:hAnsi="Times New Roman" w:cs="Times New Roman"/>
          <w:sz w:val="24"/>
          <w:szCs w:val="24"/>
        </w:rPr>
        <w:t xml:space="preserve"> likwidacji rzeczy i praw obciążonych prawami za</w:t>
      </w:r>
      <w:r>
        <w:rPr>
          <w:rFonts w:ascii="Times New Roman" w:eastAsia="Calibri" w:hAnsi="Times New Roman" w:cs="Times New Roman"/>
          <w:sz w:val="24"/>
          <w:szCs w:val="24"/>
        </w:rPr>
        <w:t xml:space="preserve">stawniczymi (przy uwzględnieniu </w:t>
      </w:r>
      <w:r w:rsidR="00394B84" w:rsidRPr="00394B84">
        <w:rPr>
          <w:rFonts w:ascii="Times New Roman" w:eastAsia="Calibri" w:hAnsi="Times New Roman" w:cs="Times New Roman"/>
          <w:sz w:val="24"/>
          <w:szCs w:val="24"/>
        </w:rPr>
        <w:t xml:space="preserve">omówionych </w:t>
      </w:r>
      <w:r>
        <w:rPr>
          <w:rFonts w:ascii="Times New Roman" w:eastAsia="Calibri" w:hAnsi="Times New Roman" w:cs="Times New Roman"/>
          <w:sz w:val="24"/>
          <w:szCs w:val="24"/>
        </w:rPr>
        <w:t xml:space="preserve">dalej </w:t>
      </w:r>
      <w:r w:rsidR="00394B84" w:rsidRPr="00394B84">
        <w:rPr>
          <w:rFonts w:ascii="Times New Roman" w:eastAsia="Calibri" w:hAnsi="Times New Roman" w:cs="Times New Roman"/>
          <w:sz w:val="24"/>
          <w:szCs w:val="24"/>
        </w:rPr>
        <w:t>odrębnych sposobów zaspokojenia zastawnika rejestrowego do</w:t>
      </w:r>
      <w:r>
        <w:rPr>
          <w:rFonts w:ascii="Times New Roman" w:eastAsia="Calibri" w:hAnsi="Times New Roman" w:cs="Times New Roman"/>
          <w:sz w:val="24"/>
          <w:szCs w:val="24"/>
        </w:rPr>
        <w:t>puszczonych w art. 327 i 328 PU</w:t>
      </w:r>
      <w:r w:rsidR="00394B84" w:rsidRPr="00394B84">
        <w:rPr>
          <w:rFonts w:ascii="Times New Roman" w:eastAsia="Calibri" w:hAnsi="Times New Roman" w:cs="Times New Roman"/>
          <w:sz w:val="24"/>
          <w:szCs w:val="24"/>
        </w:rPr>
        <w:t>).</w:t>
      </w:r>
      <w:r>
        <w:rPr>
          <w:rFonts w:ascii="Times New Roman" w:eastAsia="Calibri" w:hAnsi="Times New Roman" w:cs="Times New Roman"/>
          <w:sz w:val="24"/>
          <w:szCs w:val="24"/>
        </w:rPr>
        <w:t xml:space="preserve"> Kwestii tej </w:t>
      </w:r>
      <w:r w:rsidR="00394B84" w:rsidRPr="00394B84">
        <w:rPr>
          <w:rFonts w:ascii="Times New Roman" w:eastAsia="Calibri" w:hAnsi="Times New Roman" w:cs="Times New Roman"/>
          <w:sz w:val="24"/>
          <w:szCs w:val="24"/>
        </w:rPr>
        <w:t>w szczególny sposób dotyczy regulacja zawarta w art. 311 us</w:t>
      </w:r>
      <w:r>
        <w:rPr>
          <w:rFonts w:ascii="Times New Roman" w:eastAsia="Calibri" w:hAnsi="Times New Roman" w:cs="Times New Roman"/>
          <w:sz w:val="24"/>
          <w:szCs w:val="24"/>
        </w:rPr>
        <w:t>t. 2 PU,</w:t>
      </w:r>
      <w:r w:rsidR="00394B84" w:rsidRPr="00394B84">
        <w:rPr>
          <w:rFonts w:ascii="Times New Roman" w:eastAsia="Calibri" w:hAnsi="Times New Roman" w:cs="Times New Roman"/>
          <w:sz w:val="24"/>
          <w:szCs w:val="24"/>
        </w:rPr>
        <w:t xml:space="preserve"> </w:t>
      </w:r>
      <w:r>
        <w:rPr>
          <w:rFonts w:ascii="Times New Roman" w:eastAsia="Calibri" w:hAnsi="Times New Roman" w:cs="Times New Roman"/>
          <w:sz w:val="24"/>
          <w:szCs w:val="24"/>
        </w:rPr>
        <w:t>zgodnie z którym w przypadkach wskazanych w PU</w:t>
      </w:r>
      <w:r w:rsidR="00394B84" w:rsidRPr="00394B84">
        <w:rPr>
          <w:rFonts w:ascii="Times New Roman" w:eastAsia="Calibri" w:hAnsi="Times New Roman" w:cs="Times New Roman"/>
          <w:sz w:val="24"/>
          <w:szCs w:val="24"/>
        </w:rPr>
        <w:t xml:space="preserve"> likwidacja składników </w:t>
      </w:r>
      <w:r w:rsidRPr="00394B84">
        <w:rPr>
          <w:rFonts w:ascii="Times New Roman" w:eastAsia="Calibri" w:hAnsi="Times New Roman" w:cs="Times New Roman"/>
          <w:sz w:val="24"/>
          <w:szCs w:val="24"/>
        </w:rPr>
        <w:t xml:space="preserve">masy upadłości obciążonych zastawem rejestrowym </w:t>
      </w:r>
      <w:r w:rsidR="00394B84" w:rsidRPr="00394B84">
        <w:rPr>
          <w:rFonts w:ascii="Times New Roman" w:eastAsia="Calibri" w:hAnsi="Times New Roman" w:cs="Times New Roman"/>
          <w:sz w:val="24"/>
          <w:szCs w:val="24"/>
        </w:rPr>
        <w:t xml:space="preserve">może nastąpić także przez przejęcie ich przez wierzyciela będącego zastawnikiem zastawu rejestrowego lub zastawu finansowego, jeżeli umowa o ustanowieniu zastawu przewiduje zaspokojenie zastawnika w drodze przejęcia przedmiotu zastawu. </w:t>
      </w:r>
    </w:p>
    <w:p w:rsidR="00394B84" w:rsidRPr="00394B84" w:rsidRDefault="00394B84" w:rsidP="00394B84">
      <w:pPr>
        <w:spacing w:after="0" w:line="360" w:lineRule="auto"/>
        <w:jc w:val="both"/>
        <w:rPr>
          <w:rFonts w:ascii="Times New Roman" w:eastAsia="Calibri" w:hAnsi="Times New Roman" w:cs="Times New Roman"/>
          <w:sz w:val="24"/>
          <w:szCs w:val="24"/>
        </w:rPr>
      </w:pPr>
    </w:p>
    <w:p w:rsidR="00394B84" w:rsidRPr="00394B84" w:rsidRDefault="00394B84" w:rsidP="00A5544C">
      <w:pPr>
        <w:spacing w:after="0" w:line="360" w:lineRule="auto"/>
        <w:ind w:left="426" w:hanging="426"/>
        <w:jc w:val="both"/>
        <w:rPr>
          <w:rFonts w:ascii="Times New Roman" w:eastAsia="Calibri" w:hAnsi="Times New Roman" w:cs="Times New Roman"/>
          <w:b/>
          <w:sz w:val="24"/>
          <w:szCs w:val="24"/>
        </w:rPr>
      </w:pPr>
      <w:r w:rsidRPr="00394B84">
        <w:rPr>
          <w:rFonts w:ascii="Times New Roman" w:eastAsia="Calibri" w:hAnsi="Times New Roman" w:cs="Times New Roman"/>
          <w:b/>
          <w:sz w:val="24"/>
          <w:szCs w:val="24"/>
        </w:rPr>
        <w:t xml:space="preserve">3. Sprzedaż przedsiębiorstwa upadłego </w:t>
      </w:r>
      <w:r w:rsidR="00A5544C">
        <w:rPr>
          <w:rFonts w:ascii="Times New Roman" w:eastAsia="Calibri" w:hAnsi="Times New Roman" w:cs="Times New Roman"/>
          <w:b/>
          <w:sz w:val="24"/>
          <w:szCs w:val="24"/>
        </w:rPr>
        <w:t>w postępowaniu upadłościowym</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 xml:space="preserve"> </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Jak już zaznaczono,</w:t>
      </w:r>
      <w:r w:rsidRPr="00394B84">
        <w:rPr>
          <w:rFonts w:ascii="Times New Roman" w:eastAsia="Calibri" w:hAnsi="Times New Roman" w:cs="Times New Roman"/>
          <w:b/>
          <w:sz w:val="24"/>
          <w:szCs w:val="24"/>
        </w:rPr>
        <w:t xml:space="preserve"> </w:t>
      </w:r>
      <w:r w:rsidRPr="00394B84">
        <w:rPr>
          <w:rFonts w:ascii="Times New Roman" w:eastAsia="Calibri" w:hAnsi="Times New Roman" w:cs="Times New Roman"/>
          <w:sz w:val="24"/>
          <w:szCs w:val="24"/>
        </w:rPr>
        <w:t xml:space="preserve">zbycie przedsiębiorstwa upadłego jako całości jest podstawową formą likwidacji majątku upadłego przewidzianą przez przepisy PU. Wynika to z </w:t>
      </w:r>
      <w:r w:rsidR="00A5544C">
        <w:rPr>
          <w:rFonts w:ascii="Times New Roman" w:eastAsia="Calibri" w:hAnsi="Times New Roman" w:cs="Times New Roman"/>
          <w:sz w:val="24"/>
          <w:szCs w:val="24"/>
        </w:rPr>
        <w:t>art. 316 ust. 1 PU</w:t>
      </w:r>
      <w:r w:rsidRPr="00394B84">
        <w:rPr>
          <w:rFonts w:ascii="Times New Roman" w:eastAsia="Calibri" w:hAnsi="Times New Roman" w:cs="Times New Roman"/>
          <w:sz w:val="24"/>
          <w:szCs w:val="24"/>
        </w:rPr>
        <w:t xml:space="preserve">, zgodnie z którym przedsiębiorstwo upadłego powinno być sprzedane jako całość, chyba że nie jest to możliwe. Zasadą jest zatem, jak słusznie wskazuje </w:t>
      </w:r>
      <w:r w:rsidRPr="00394B84">
        <w:rPr>
          <w:rFonts w:ascii="Times New Roman" w:eastAsia="Calibri" w:hAnsi="Times New Roman" w:cs="Times New Roman"/>
          <w:i/>
          <w:sz w:val="24"/>
          <w:szCs w:val="24"/>
        </w:rPr>
        <w:t>Z. Woźniak</w:t>
      </w:r>
      <w:r w:rsidRPr="00394B84">
        <w:rPr>
          <w:rFonts w:ascii="Times New Roman" w:eastAsia="Calibri" w:hAnsi="Times New Roman" w:cs="Times New Roman"/>
          <w:sz w:val="24"/>
          <w:szCs w:val="24"/>
        </w:rPr>
        <w:t xml:space="preserve"> zbycie przedsiębiorstwa upadłego jako całości, wraz z wchodzącymi w jego skład przedmiotami obciążonymi prawami zastawniczymi. Syndyk powinien zatem podjąć próbę zbycia przedsiębiorstwa upadłego w całości zanim przystąpi do zbycia jego poszczególnych składników – w tym również tych obciążonych hipoteką bądź zastawem.</w:t>
      </w:r>
    </w:p>
    <w:p w:rsidR="009E27C9" w:rsidRPr="00394B84" w:rsidRDefault="00394B84" w:rsidP="009E27C9">
      <w:pPr>
        <w:spacing w:after="0" w:line="360" w:lineRule="auto"/>
        <w:ind w:firstLine="708"/>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Rozwiązanie takie podyktowane jest głównie względami ekonomiczno-społecznymi. Sprzedaż przedsiębiorstwa jako zorganizowanego zespołu  składników materialnych i niematerialnych przeznaczonych do prowadzenia działalności gospodarczej (art. 55</w:t>
      </w:r>
      <w:r w:rsidRPr="00394B84">
        <w:rPr>
          <w:rFonts w:ascii="Times New Roman" w:eastAsia="Calibri" w:hAnsi="Times New Roman" w:cs="Times New Roman"/>
          <w:sz w:val="24"/>
          <w:szCs w:val="24"/>
          <w:vertAlign w:val="superscript"/>
        </w:rPr>
        <w:t>1</w:t>
      </w:r>
      <w:r w:rsidRPr="00394B84">
        <w:rPr>
          <w:rFonts w:ascii="Times New Roman" w:eastAsia="Calibri" w:hAnsi="Times New Roman" w:cs="Times New Roman"/>
          <w:sz w:val="24"/>
          <w:szCs w:val="24"/>
        </w:rPr>
        <w:t xml:space="preserve"> KC), jak słusznie wskazuje </w:t>
      </w:r>
      <w:r w:rsidRPr="00394B84">
        <w:rPr>
          <w:rFonts w:ascii="Times New Roman" w:eastAsia="Calibri" w:hAnsi="Times New Roman" w:cs="Times New Roman"/>
          <w:i/>
          <w:sz w:val="24"/>
          <w:szCs w:val="24"/>
        </w:rPr>
        <w:t>Z. Świeboda</w:t>
      </w:r>
      <w:r w:rsidRPr="00394B84">
        <w:rPr>
          <w:rFonts w:ascii="Times New Roman" w:eastAsia="Calibri" w:hAnsi="Times New Roman" w:cs="Times New Roman"/>
          <w:sz w:val="24"/>
          <w:szCs w:val="24"/>
        </w:rPr>
        <w:t xml:space="preserve">, powinna pozwolić  na utrzymanie produkcji przedsiębiorstwa, uzyskanie wyższej ceny oraz utrzymanie miejsc pracy. </w:t>
      </w:r>
      <w:r w:rsidR="009E27C9">
        <w:rPr>
          <w:rFonts w:ascii="Times New Roman" w:eastAsia="Calibri" w:hAnsi="Times New Roman" w:cs="Times New Roman"/>
          <w:sz w:val="24"/>
          <w:szCs w:val="24"/>
        </w:rPr>
        <w:t>Syndyk może przy tym do czasu sprzedaży, dalej prowadzić przedsiębiorstwo upadłego (a zatem w istocie kontynuować prowadzoną przez niego działalność gospodarczą), w oparciu o art. 312 ust. 1 PU, przewidujący że  p</w:t>
      </w:r>
      <w:r w:rsidR="009E27C9" w:rsidRPr="009E27C9">
        <w:rPr>
          <w:rFonts w:ascii="Times New Roman" w:eastAsia="Calibri" w:hAnsi="Times New Roman" w:cs="Times New Roman"/>
          <w:sz w:val="24"/>
          <w:szCs w:val="24"/>
        </w:rPr>
        <w:t>o ogłoszeniu upadłości można prowadzić dalej przedsiębiorstwo</w:t>
      </w:r>
      <w:r w:rsidR="009E27C9">
        <w:rPr>
          <w:rFonts w:ascii="Times New Roman" w:eastAsia="Calibri" w:hAnsi="Times New Roman" w:cs="Times New Roman"/>
          <w:sz w:val="24"/>
          <w:szCs w:val="24"/>
        </w:rPr>
        <w:t xml:space="preserve"> </w:t>
      </w:r>
      <w:r w:rsidR="009E27C9" w:rsidRPr="009E27C9">
        <w:rPr>
          <w:rFonts w:ascii="Times New Roman" w:eastAsia="Calibri" w:hAnsi="Times New Roman" w:cs="Times New Roman"/>
          <w:sz w:val="24"/>
          <w:szCs w:val="24"/>
        </w:rPr>
        <w:t>upadłego, jeżeli możliwe jest zawarcie układu z wierzycielami lub możliwa jest</w:t>
      </w:r>
      <w:r w:rsidR="009E27C9">
        <w:rPr>
          <w:rFonts w:ascii="Times New Roman" w:eastAsia="Calibri" w:hAnsi="Times New Roman" w:cs="Times New Roman"/>
          <w:sz w:val="24"/>
          <w:szCs w:val="24"/>
        </w:rPr>
        <w:t xml:space="preserve"> </w:t>
      </w:r>
      <w:r w:rsidR="009E27C9" w:rsidRPr="009E27C9">
        <w:rPr>
          <w:rFonts w:ascii="Times New Roman" w:eastAsia="Calibri" w:hAnsi="Times New Roman" w:cs="Times New Roman"/>
          <w:sz w:val="24"/>
          <w:szCs w:val="24"/>
        </w:rPr>
        <w:t>sprzedaż przedsiębiorstwa upadłego w całości lub jego zorganizowanych części.</w:t>
      </w:r>
      <w:r w:rsidR="009E27C9">
        <w:rPr>
          <w:rFonts w:ascii="Times New Roman" w:eastAsia="Calibri" w:hAnsi="Times New Roman" w:cs="Times New Roman"/>
          <w:sz w:val="24"/>
          <w:szCs w:val="24"/>
        </w:rPr>
        <w:t xml:space="preserve"> Warto także zaznaczyć, że na mocy art. 316 ust. 2 PU s</w:t>
      </w:r>
      <w:r w:rsidR="009E27C9" w:rsidRPr="009E27C9">
        <w:rPr>
          <w:rFonts w:ascii="Times New Roman" w:eastAsia="Calibri" w:hAnsi="Times New Roman" w:cs="Times New Roman"/>
          <w:sz w:val="24"/>
          <w:szCs w:val="24"/>
        </w:rPr>
        <w:t>przedaż przedsiębiorstwa upadłego może być, po wyrażeniu zgody przez</w:t>
      </w:r>
      <w:r w:rsidR="009E27C9">
        <w:rPr>
          <w:rFonts w:ascii="Times New Roman" w:eastAsia="Calibri" w:hAnsi="Times New Roman" w:cs="Times New Roman"/>
          <w:sz w:val="24"/>
          <w:szCs w:val="24"/>
        </w:rPr>
        <w:t xml:space="preserve"> </w:t>
      </w:r>
      <w:r w:rsidR="009E27C9" w:rsidRPr="009E27C9">
        <w:rPr>
          <w:rFonts w:ascii="Times New Roman" w:eastAsia="Calibri" w:hAnsi="Times New Roman" w:cs="Times New Roman"/>
          <w:sz w:val="24"/>
          <w:szCs w:val="24"/>
        </w:rPr>
        <w:t>sędziego-komisarza, poprzedzona umową dzierżawy na czas określony z prawem</w:t>
      </w:r>
      <w:r w:rsidR="009E27C9">
        <w:rPr>
          <w:rFonts w:ascii="Times New Roman" w:eastAsia="Calibri" w:hAnsi="Times New Roman" w:cs="Times New Roman"/>
          <w:sz w:val="24"/>
          <w:szCs w:val="24"/>
        </w:rPr>
        <w:t xml:space="preserve"> </w:t>
      </w:r>
      <w:r w:rsidR="009E27C9" w:rsidRPr="009E27C9">
        <w:rPr>
          <w:rFonts w:ascii="Times New Roman" w:eastAsia="Calibri" w:hAnsi="Times New Roman" w:cs="Times New Roman"/>
          <w:sz w:val="24"/>
          <w:szCs w:val="24"/>
        </w:rPr>
        <w:t>pierwokupu, jeżeli przemawiają za tym względy ekonomiczne.</w:t>
      </w:r>
    </w:p>
    <w:p w:rsidR="00394B84" w:rsidRPr="00394B84" w:rsidRDefault="009E27C9" w:rsidP="00394B8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319 ust. 1 PU</w:t>
      </w:r>
      <w:r w:rsidR="00394B84" w:rsidRPr="00394B84">
        <w:rPr>
          <w:rFonts w:ascii="Times New Roman" w:eastAsia="Calibri" w:hAnsi="Times New Roman" w:cs="Times New Roman"/>
          <w:sz w:val="24"/>
          <w:szCs w:val="24"/>
        </w:rPr>
        <w:t xml:space="preserve">, </w:t>
      </w:r>
      <w:r>
        <w:rPr>
          <w:rFonts w:ascii="Times New Roman" w:eastAsia="Calibri" w:hAnsi="Times New Roman" w:cs="Times New Roman"/>
          <w:sz w:val="24"/>
          <w:szCs w:val="24"/>
        </w:rPr>
        <w:t>j</w:t>
      </w:r>
      <w:r w:rsidRPr="009E27C9">
        <w:rPr>
          <w:rFonts w:ascii="Times New Roman" w:eastAsia="Calibri" w:hAnsi="Times New Roman" w:cs="Times New Roman"/>
          <w:sz w:val="24"/>
          <w:szCs w:val="24"/>
        </w:rPr>
        <w:t>eżeli planowana jest sprzedaż przedsiębiorstwa upadłego</w:t>
      </w:r>
      <w:r>
        <w:rPr>
          <w:rFonts w:ascii="Times New Roman" w:eastAsia="Calibri" w:hAnsi="Times New Roman" w:cs="Times New Roman"/>
          <w:sz w:val="24"/>
          <w:szCs w:val="24"/>
        </w:rPr>
        <w:t xml:space="preserve"> </w:t>
      </w:r>
      <w:r w:rsidRPr="009E27C9">
        <w:rPr>
          <w:rFonts w:ascii="Times New Roman" w:eastAsia="Calibri" w:hAnsi="Times New Roman" w:cs="Times New Roman"/>
          <w:sz w:val="24"/>
          <w:szCs w:val="24"/>
        </w:rPr>
        <w:t>w całości, przy sporządzaniu spisu inwentarza i oszacowania masy upadłości, albo</w:t>
      </w:r>
      <w:r>
        <w:rPr>
          <w:rFonts w:ascii="Times New Roman" w:eastAsia="Calibri" w:hAnsi="Times New Roman" w:cs="Times New Roman"/>
          <w:sz w:val="24"/>
          <w:szCs w:val="24"/>
        </w:rPr>
        <w:t xml:space="preserve"> </w:t>
      </w:r>
      <w:r w:rsidRPr="009E27C9">
        <w:rPr>
          <w:rFonts w:ascii="Times New Roman" w:eastAsia="Calibri" w:hAnsi="Times New Roman" w:cs="Times New Roman"/>
          <w:sz w:val="24"/>
          <w:szCs w:val="24"/>
        </w:rPr>
        <w:lastRenderedPageBreak/>
        <w:t>odrębnie, jeżeli możliwość takiej sprzedaży ujawniła się na późniejszym etapie</w:t>
      </w:r>
      <w:r>
        <w:rPr>
          <w:rFonts w:ascii="Times New Roman" w:eastAsia="Calibri" w:hAnsi="Times New Roman" w:cs="Times New Roman"/>
          <w:sz w:val="24"/>
          <w:szCs w:val="24"/>
        </w:rPr>
        <w:t xml:space="preserve"> </w:t>
      </w:r>
      <w:r w:rsidRPr="009E27C9">
        <w:rPr>
          <w:rFonts w:ascii="Times New Roman" w:eastAsia="Calibri" w:hAnsi="Times New Roman" w:cs="Times New Roman"/>
          <w:sz w:val="24"/>
          <w:szCs w:val="24"/>
        </w:rPr>
        <w:t>biegły wybrany przez syndyka sporządza opis i oszacowanie przedsiębiorstwa</w:t>
      </w:r>
      <w:r>
        <w:rPr>
          <w:rFonts w:ascii="Times New Roman" w:eastAsia="Calibri" w:hAnsi="Times New Roman" w:cs="Times New Roman"/>
          <w:sz w:val="24"/>
          <w:szCs w:val="24"/>
        </w:rPr>
        <w:t xml:space="preserve"> </w:t>
      </w:r>
      <w:r w:rsidRPr="009E27C9">
        <w:rPr>
          <w:rFonts w:ascii="Times New Roman" w:eastAsia="Calibri" w:hAnsi="Times New Roman" w:cs="Times New Roman"/>
          <w:sz w:val="24"/>
          <w:szCs w:val="24"/>
        </w:rPr>
        <w:t>upadłego</w:t>
      </w:r>
      <w:r w:rsidR="00394B84" w:rsidRPr="00394B84">
        <w:rPr>
          <w:rFonts w:ascii="Times New Roman" w:eastAsia="Calibri" w:hAnsi="Times New Roman" w:cs="Times New Roman"/>
          <w:sz w:val="24"/>
          <w:szCs w:val="24"/>
        </w:rPr>
        <w:t xml:space="preserve">. </w:t>
      </w:r>
      <w:r w:rsidR="00BE7654" w:rsidRPr="00BE7654">
        <w:rPr>
          <w:rFonts w:ascii="Times New Roman" w:eastAsia="Calibri" w:hAnsi="Times New Roman" w:cs="Times New Roman"/>
          <w:sz w:val="24"/>
          <w:szCs w:val="24"/>
        </w:rPr>
        <w:t>Opis przedsiębiorstwa powinien określać w szczególności przedmiot</w:t>
      </w:r>
      <w:r w:rsidR="00BE7654">
        <w:rPr>
          <w:rFonts w:ascii="Times New Roman" w:eastAsia="Calibri" w:hAnsi="Times New Roman" w:cs="Times New Roman"/>
          <w:sz w:val="24"/>
          <w:szCs w:val="24"/>
        </w:rPr>
        <w:t xml:space="preserve"> </w:t>
      </w:r>
      <w:r w:rsidR="00BE7654" w:rsidRPr="00BE7654">
        <w:rPr>
          <w:rFonts w:ascii="Times New Roman" w:eastAsia="Calibri" w:hAnsi="Times New Roman" w:cs="Times New Roman"/>
          <w:sz w:val="24"/>
          <w:szCs w:val="24"/>
        </w:rPr>
        <w:t>działalności przedsiębiorstwa, nieruchomości wchodzące w jego skład, ich obszar</w:t>
      </w:r>
      <w:r w:rsidR="00BE7654">
        <w:rPr>
          <w:rFonts w:ascii="Times New Roman" w:eastAsia="Calibri" w:hAnsi="Times New Roman" w:cs="Times New Roman"/>
          <w:sz w:val="24"/>
          <w:szCs w:val="24"/>
        </w:rPr>
        <w:t xml:space="preserve"> </w:t>
      </w:r>
      <w:r w:rsidR="00BE7654" w:rsidRPr="00BE7654">
        <w:rPr>
          <w:rFonts w:ascii="Times New Roman" w:eastAsia="Calibri" w:hAnsi="Times New Roman" w:cs="Times New Roman"/>
          <w:sz w:val="24"/>
          <w:szCs w:val="24"/>
        </w:rPr>
        <w:t>oraz oznaczenie księgi wieczystej lub zbioru dokumentów, inne środki trwałe,</w:t>
      </w:r>
      <w:r w:rsidR="00BE7654">
        <w:rPr>
          <w:rFonts w:ascii="Times New Roman" w:eastAsia="Calibri" w:hAnsi="Times New Roman" w:cs="Times New Roman"/>
          <w:sz w:val="24"/>
          <w:szCs w:val="24"/>
        </w:rPr>
        <w:t xml:space="preserve"> </w:t>
      </w:r>
      <w:r w:rsidR="00BE7654" w:rsidRPr="00BE7654">
        <w:rPr>
          <w:rFonts w:ascii="Times New Roman" w:eastAsia="Calibri" w:hAnsi="Times New Roman" w:cs="Times New Roman"/>
          <w:sz w:val="24"/>
          <w:szCs w:val="24"/>
        </w:rPr>
        <w:t>stwierdzone prawa, a także obciążenia</w:t>
      </w:r>
      <w:r w:rsidR="00BE7654">
        <w:rPr>
          <w:rFonts w:ascii="Times New Roman" w:eastAsia="Calibri" w:hAnsi="Times New Roman" w:cs="Times New Roman"/>
          <w:sz w:val="24"/>
          <w:szCs w:val="24"/>
        </w:rPr>
        <w:t xml:space="preserve">. W </w:t>
      </w:r>
      <w:r w:rsidR="00BE7654" w:rsidRPr="00BE7654">
        <w:rPr>
          <w:rFonts w:ascii="Times New Roman" w:eastAsia="Calibri" w:hAnsi="Times New Roman" w:cs="Times New Roman"/>
          <w:sz w:val="24"/>
          <w:szCs w:val="24"/>
        </w:rPr>
        <w:t>oszacowaniu należy odrębnie podać wartość przedsiębiorstwa w całości</w:t>
      </w:r>
      <w:r w:rsidR="00BE7654">
        <w:rPr>
          <w:rFonts w:ascii="Times New Roman" w:eastAsia="Calibri" w:hAnsi="Times New Roman" w:cs="Times New Roman"/>
          <w:sz w:val="24"/>
          <w:szCs w:val="24"/>
        </w:rPr>
        <w:t xml:space="preserve"> </w:t>
      </w:r>
      <w:r w:rsidR="00BE7654" w:rsidRPr="00BE7654">
        <w:rPr>
          <w:rFonts w:ascii="Times New Roman" w:eastAsia="Calibri" w:hAnsi="Times New Roman" w:cs="Times New Roman"/>
          <w:sz w:val="24"/>
          <w:szCs w:val="24"/>
        </w:rPr>
        <w:t>oraz jego zorganizowanych części, jeżeli mogą być wydzielone do sprzedaży</w:t>
      </w:r>
      <w:r w:rsidR="00BE7654">
        <w:rPr>
          <w:rFonts w:ascii="Times New Roman" w:eastAsia="Calibri" w:hAnsi="Times New Roman" w:cs="Times New Roman"/>
          <w:sz w:val="24"/>
          <w:szCs w:val="24"/>
        </w:rPr>
        <w:t xml:space="preserve">. </w:t>
      </w:r>
      <w:r w:rsidR="00394B84" w:rsidRPr="00394B84">
        <w:rPr>
          <w:rFonts w:ascii="Times New Roman" w:eastAsia="Calibri" w:hAnsi="Times New Roman" w:cs="Times New Roman"/>
          <w:sz w:val="24"/>
          <w:szCs w:val="24"/>
        </w:rPr>
        <w:t>Jeżeli składniki przedsiębiorstwa są obciążone hipoteką, zastawem, zastawem rejestrowym, zastawem skarbowym, hipoteką morską lub innymi prawami i skutkami ujawnienia praw i roszczeń osobistych, wówc</w:t>
      </w:r>
      <w:r w:rsidR="00BE7654">
        <w:rPr>
          <w:rFonts w:ascii="Times New Roman" w:eastAsia="Calibri" w:hAnsi="Times New Roman" w:cs="Times New Roman"/>
          <w:sz w:val="24"/>
          <w:szCs w:val="24"/>
        </w:rPr>
        <w:t>zas, przepis art. 319 ust. 4 PU</w:t>
      </w:r>
      <w:r w:rsidR="00394B84" w:rsidRPr="00394B84">
        <w:rPr>
          <w:rFonts w:ascii="Times New Roman" w:eastAsia="Calibri" w:hAnsi="Times New Roman" w:cs="Times New Roman"/>
          <w:sz w:val="24"/>
          <w:szCs w:val="24"/>
        </w:rPr>
        <w:t xml:space="preserve"> wymaga, by w oszacowaniu takim podać oddzielnie, które z tych praw pozostają w mocy po sprzedaży, a także ich wartość, wartość składników nimi obciążonych a także stosunek wartości poszczególnych składników obciążonych do wartości przedsiębiorstwa.</w:t>
      </w:r>
    </w:p>
    <w:p w:rsid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Z mocy art. 55</w:t>
      </w:r>
      <w:r w:rsidRPr="00394B84">
        <w:rPr>
          <w:rFonts w:ascii="Times New Roman" w:eastAsia="Calibri" w:hAnsi="Times New Roman" w:cs="Times New Roman"/>
          <w:sz w:val="24"/>
          <w:szCs w:val="24"/>
          <w:vertAlign w:val="superscript"/>
        </w:rPr>
        <w:t>2</w:t>
      </w:r>
      <w:r w:rsidRPr="00394B84">
        <w:rPr>
          <w:rFonts w:ascii="Times New Roman" w:eastAsia="Calibri" w:hAnsi="Times New Roman" w:cs="Times New Roman"/>
          <w:sz w:val="24"/>
          <w:szCs w:val="24"/>
        </w:rPr>
        <w:t xml:space="preserve"> KC, czynność prawna mająca za przedmiot przedsiębiorstwo obejmuje wszystko co wchodzi w skład tego przedsiębiorstwa, chyba że co innego wynika z treści tej </w:t>
      </w:r>
      <w:r w:rsidR="007D6DE9">
        <w:rPr>
          <w:rFonts w:ascii="Times New Roman" w:eastAsia="Calibri" w:hAnsi="Times New Roman" w:cs="Times New Roman"/>
          <w:sz w:val="24"/>
          <w:szCs w:val="24"/>
        </w:rPr>
        <w:t>c</w:t>
      </w:r>
      <w:r w:rsidRPr="00394B84">
        <w:rPr>
          <w:rFonts w:ascii="Times New Roman" w:eastAsia="Calibri" w:hAnsi="Times New Roman" w:cs="Times New Roman"/>
          <w:sz w:val="24"/>
          <w:szCs w:val="24"/>
        </w:rPr>
        <w:t xml:space="preserve">zynności albo z przepisów szczególnych. Może ono zatem zostać zbyte </w:t>
      </w:r>
      <w:proofErr w:type="spellStart"/>
      <w:r w:rsidRPr="00394B84">
        <w:rPr>
          <w:rFonts w:ascii="Times New Roman" w:eastAsia="Calibri" w:hAnsi="Times New Roman" w:cs="Times New Roman"/>
          <w:i/>
          <w:sz w:val="24"/>
          <w:szCs w:val="24"/>
        </w:rPr>
        <w:t>uno</w:t>
      </w:r>
      <w:proofErr w:type="spellEnd"/>
      <w:r w:rsidRPr="00394B84">
        <w:rPr>
          <w:rFonts w:ascii="Times New Roman" w:eastAsia="Calibri" w:hAnsi="Times New Roman" w:cs="Times New Roman"/>
          <w:i/>
          <w:sz w:val="24"/>
          <w:szCs w:val="24"/>
        </w:rPr>
        <w:t xml:space="preserve"> </w:t>
      </w:r>
      <w:proofErr w:type="spellStart"/>
      <w:r w:rsidRPr="00394B84">
        <w:rPr>
          <w:rFonts w:ascii="Times New Roman" w:eastAsia="Calibri" w:hAnsi="Times New Roman" w:cs="Times New Roman"/>
          <w:i/>
          <w:sz w:val="24"/>
          <w:szCs w:val="24"/>
        </w:rPr>
        <w:t>actu</w:t>
      </w:r>
      <w:proofErr w:type="spellEnd"/>
      <w:r w:rsidRPr="00394B84">
        <w:rPr>
          <w:rFonts w:ascii="Times New Roman" w:eastAsia="Calibri" w:hAnsi="Times New Roman" w:cs="Times New Roman"/>
          <w:sz w:val="24"/>
          <w:szCs w:val="24"/>
        </w:rPr>
        <w:t>, bez konieczności dokonywania odrębnych czynności prawnych dotyczących poszczególnych składników zbywanego przedsiębiorstwa (zaznaczyć należy, że strony mogą wyłączyć z umowy część składników majątkowych przedsiębiorstwa, wyłączenie takie nie może jednak obejmować jego istotnych elementów, niezbędnych do kontynuacji dotychczasowej działalności gospodarczej danego przedsiębiorstwa). Zasada ta znajduje zastosowanie również w razie zbycia przedsiębiorstwa upadłego przez syndyka – dokonana przez niego czynność obejmuje wszystko co wchodzi w skład tego przedsiębiorstwa, w tym także składniki obciążone zastawem bądź hipoteką. W tym kontekście istotnego znaczenia nabiera reguła, że nabywca przedsiębiorstwa upadłego nabywa je w stanie wolnym od  obciążeń – w tym także służących zabezpieczeniu wierzytelności ograniczonych praw rzeczowych, które wygasają z chwilą sprzedaży tego przedsiębiorstwa. Wartość składników majątkowych przedsiębiorstwa upadłego obciążonych prawami zastawni</w:t>
      </w:r>
      <w:r w:rsidR="00BE7654">
        <w:rPr>
          <w:rFonts w:ascii="Times New Roman" w:eastAsia="Calibri" w:hAnsi="Times New Roman" w:cs="Times New Roman"/>
          <w:sz w:val="24"/>
          <w:szCs w:val="24"/>
        </w:rPr>
        <w:t>czymi z mocy art. 314 ust. 1 PU</w:t>
      </w:r>
      <w:r w:rsidRPr="00394B84">
        <w:rPr>
          <w:rFonts w:ascii="Times New Roman" w:eastAsia="Calibri" w:hAnsi="Times New Roman" w:cs="Times New Roman"/>
          <w:sz w:val="24"/>
          <w:szCs w:val="24"/>
        </w:rPr>
        <w:t xml:space="preserve"> podlega przy tym ujawnieniu w umowie sprzedaży, która, jak słusznie wskazuje </w:t>
      </w:r>
      <w:r w:rsidRPr="00394B84">
        <w:rPr>
          <w:rFonts w:ascii="Times New Roman" w:eastAsia="Calibri" w:hAnsi="Times New Roman" w:cs="Times New Roman"/>
          <w:i/>
          <w:sz w:val="24"/>
          <w:szCs w:val="24"/>
        </w:rPr>
        <w:t>Z. Woźniak</w:t>
      </w:r>
      <w:r w:rsidRPr="00394B84">
        <w:rPr>
          <w:rFonts w:ascii="Times New Roman" w:eastAsia="Calibri" w:hAnsi="Times New Roman" w:cs="Times New Roman"/>
          <w:sz w:val="24"/>
          <w:szCs w:val="24"/>
        </w:rPr>
        <w:t>, powinna indywidualizować poszczególne składniki przedsiębiorstwa obciążone prawami zastawniczymi i wskazywać ich wartość</w:t>
      </w:r>
      <w:r w:rsidR="007D6DE9">
        <w:rPr>
          <w:rFonts w:ascii="Times New Roman" w:eastAsia="Calibri" w:hAnsi="Times New Roman" w:cs="Times New Roman"/>
          <w:sz w:val="24"/>
          <w:szCs w:val="24"/>
        </w:rPr>
        <w:t>.</w:t>
      </w:r>
      <w:r w:rsidRPr="00394B84">
        <w:rPr>
          <w:rFonts w:ascii="Times New Roman" w:eastAsia="Calibri" w:hAnsi="Times New Roman" w:cs="Times New Roman"/>
          <w:sz w:val="24"/>
          <w:szCs w:val="24"/>
        </w:rPr>
        <w:t xml:space="preserve"> Rozwiązanie to jest konsekwencją przyjęcia przez ustawodawcę prawa odrębności, rozciągającego się również na przypadki sprzedaży przedmiotu zabezpieczenia jako składnika zbywanego w całości przedsiębiorstwa upadłego. Taka sprzedaż przedmio</w:t>
      </w:r>
      <w:r w:rsidR="00BE7654">
        <w:rPr>
          <w:rFonts w:ascii="Times New Roman" w:eastAsia="Calibri" w:hAnsi="Times New Roman" w:cs="Times New Roman"/>
          <w:sz w:val="24"/>
          <w:szCs w:val="24"/>
        </w:rPr>
        <w:t xml:space="preserve">tu zabezpieczenia nie pozbawia </w:t>
      </w:r>
      <w:r w:rsidRPr="00394B84">
        <w:rPr>
          <w:rFonts w:ascii="Times New Roman" w:eastAsia="Calibri" w:hAnsi="Times New Roman" w:cs="Times New Roman"/>
          <w:sz w:val="24"/>
          <w:szCs w:val="24"/>
        </w:rPr>
        <w:t xml:space="preserve">zatem wierzycieli rzeczowych </w:t>
      </w:r>
      <w:r w:rsidRPr="00394B84">
        <w:rPr>
          <w:rFonts w:ascii="Times New Roman" w:eastAsia="Calibri" w:hAnsi="Times New Roman" w:cs="Times New Roman"/>
          <w:sz w:val="24"/>
          <w:szCs w:val="24"/>
        </w:rPr>
        <w:lastRenderedPageBreak/>
        <w:t>upadłego prawa do uzyskania zaspokojenia w ramach prawa odrębności, z sum uzyskanych ze zbycia przedmiotów zabezpieczenia. Z ceny sprzedaży przedsiębiorstwa syndyk wyodrębnia wartość przedm</w:t>
      </w:r>
      <w:r w:rsidR="000422B9">
        <w:rPr>
          <w:rFonts w:ascii="Times New Roman" w:eastAsia="Calibri" w:hAnsi="Times New Roman" w:cs="Times New Roman"/>
          <w:sz w:val="24"/>
          <w:szCs w:val="24"/>
        </w:rPr>
        <w:t>iotów obciążonych</w:t>
      </w:r>
      <w:r w:rsidRPr="00394B84">
        <w:rPr>
          <w:rFonts w:ascii="Times New Roman" w:eastAsia="Calibri" w:hAnsi="Times New Roman" w:cs="Times New Roman"/>
          <w:sz w:val="24"/>
          <w:szCs w:val="24"/>
        </w:rPr>
        <w:t xml:space="preserve"> hipoteką bądź zastawem i przeznacza </w:t>
      </w:r>
      <w:r w:rsidR="000422B9">
        <w:rPr>
          <w:rFonts w:ascii="Times New Roman" w:eastAsia="Calibri" w:hAnsi="Times New Roman" w:cs="Times New Roman"/>
          <w:sz w:val="24"/>
          <w:szCs w:val="24"/>
        </w:rPr>
        <w:t xml:space="preserve">tę kwotę </w:t>
      </w:r>
      <w:r w:rsidRPr="00394B84">
        <w:rPr>
          <w:rFonts w:ascii="Times New Roman" w:eastAsia="Calibri" w:hAnsi="Times New Roman" w:cs="Times New Roman"/>
          <w:sz w:val="24"/>
          <w:szCs w:val="24"/>
        </w:rPr>
        <w:t>na zaspokojenie wierzyciela rzeczowego upadłego, zgodn</w:t>
      </w:r>
      <w:r w:rsidR="00BE7654">
        <w:rPr>
          <w:rFonts w:ascii="Times New Roman" w:eastAsia="Calibri" w:hAnsi="Times New Roman" w:cs="Times New Roman"/>
          <w:sz w:val="24"/>
          <w:szCs w:val="24"/>
        </w:rPr>
        <w:t>ie z zasadami art. 336 i 340 PU</w:t>
      </w:r>
      <w:r w:rsidRPr="00394B84">
        <w:rPr>
          <w:rFonts w:ascii="Times New Roman" w:eastAsia="Calibri" w:hAnsi="Times New Roman" w:cs="Times New Roman"/>
          <w:sz w:val="24"/>
          <w:szCs w:val="24"/>
        </w:rPr>
        <w:t>, a zatem w drodze odrębnego podziału (przy czym odrębnemu podziałowi podlegała będzie każda część ceny przedsiębiorstwa odpowiadająca wartości poszczególnych wchodzących w jego skład przedmiotów zabezpieczenia).</w:t>
      </w:r>
    </w:p>
    <w:p w:rsidR="00BE7654" w:rsidRDefault="00BE7654" w:rsidP="00BE765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Zgodnie z art. 317 ust. 1 PU </w:t>
      </w:r>
      <w:r w:rsidRPr="00BE7654">
        <w:rPr>
          <w:rFonts w:ascii="Times New Roman" w:eastAsia="Calibri" w:hAnsi="Times New Roman" w:cs="Times New Roman"/>
          <w:sz w:val="24"/>
          <w:szCs w:val="24"/>
        </w:rPr>
        <w:t>Na nabywcę przed</w:t>
      </w:r>
      <w:r>
        <w:rPr>
          <w:rFonts w:ascii="Times New Roman" w:eastAsia="Calibri" w:hAnsi="Times New Roman" w:cs="Times New Roman"/>
          <w:sz w:val="24"/>
          <w:szCs w:val="24"/>
        </w:rPr>
        <w:t xml:space="preserve">siębiorstwa upadłego przechodzą </w:t>
      </w:r>
      <w:r w:rsidRPr="00BE7654">
        <w:rPr>
          <w:rFonts w:ascii="Times New Roman" w:eastAsia="Calibri" w:hAnsi="Times New Roman" w:cs="Times New Roman"/>
          <w:sz w:val="24"/>
          <w:szCs w:val="24"/>
        </w:rPr>
        <w:t>wszelkie</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koncesje, zezwolenia, licencje i ulgi, które zostały udzielone upadłemu, chyba że</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odrębne ustawy stanowią inaczej</w:t>
      </w:r>
      <w:r>
        <w:rPr>
          <w:rFonts w:ascii="Times New Roman" w:eastAsia="Calibri" w:hAnsi="Times New Roman" w:cs="Times New Roman"/>
          <w:sz w:val="24"/>
          <w:szCs w:val="24"/>
        </w:rPr>
        <w:t>. Na mocy art. 317 ust. 2 PU n</w:t>
      </w:r>
      <w:r w:rsidRPr="00BE7654">
        <w:rPr>
          <w:rFonts w:ascii="Times New Roman" w:eastAsia="Calibri" w:hAnsi="Times New Roman" w:cs="Times New Roman"/>
          <w:sz w:val="24"/>
          <w:szCs w:val="24"/>
        </w:rPr>
        <w:t>abywca przedsiębiorstwa</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upadłego nabywa je w stanie wolnym od obciążeń i nie odpowiada za zobowiązania</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upadłego. Wszelkie obciążenia na składnikach przedsiębiorstwa wygasają,</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z wyjątkiem obciążeń wymienionych w art. 313 ust. 3 i 4</w:t>
      </w:r>
      <w:r>
        <w:rPr>
          <w:rFonts w:ascii="Times New Roman" w:eastAsia="Calibri" w:hAnsi="Times New Roman" w:cs="Times New Roman"/>
          <w:sz w:val="24"/>
          <w:szCs w:val="24"/>
        </w:rPr>
        <w:t xml:space="preserve"> PU. Wynika to z faktu, że, zgodnie z omówionym bliżej w dalszej części wywodu  art. 313 ust. 1 PU s</w:t>
      </w:r>
      <w:r w:rsidRPr="00BE7654">
        <w:rPr>
          <w:rFonts w:ascii="Times New Roman" w:eastAsia="Calibri" w:hAnsi="Times New Roman" w:cs="Times New Roman"/>
          <w:sz w:val="24"/>
          <w:szCs w:val="24"/>
        </w:rPr>
        <w:t>przedaż dokonana w postępowaniu upadłościowym ma skutki</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sprzedaży egzekucyjnej</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 xml:space="preserve">Nabywca </w:t>
      </w:r>
      <w:r>
        <w:rPr>
          <w:rFonts w:ascii="Times New Roman" w:eastAsia="Calibri" w:hAnsi="Times New Roman" w:cs="Times New Roman"/>
          <w:sz w:val="24"/>
          <w:szCs w:val="24"/>
        </w:rPr>
        <w:t xml:space="preserve">przedsiębiorstwa </w:t>
      </w:r>
      <w:r w:rsidRPr="00BE7654">
        <w:rPr>
          <w:rFonts w:ascii="Times New Roman" w:eastAsia="Calibri" w:hAnsi="Times New Roman" w:cs="Times New Roman"/>
          <w:sz w:val="24"/>
          <w:szCs w:val="24"/>
        </w:rPr>
        <w:t xml:space="preserve"> nie odpowiada </w:t>
      </w:r>
      <w:r>
        <w:rPr>
          <w:rFonts w:ascii="Times New Roman" w:eastAsia="Calibri" w:hAnsi="Times New Roman" w:cs="Times New Roman"/>
          <w:sz w:val="24"/>
          <w:szCs w:val="24"/>
        </w:rPr>
        <w:t xml:space="preserve">również </w:t>
      </w:r>
      <w:r w:rsidRPr="00BE7654">
        <w:rPr>
          <w:rFonts w:ascii="Times New Roman" w:eastAsia="Calibri" w:hAnsi="Times New Roman" w:cs="Times New Roman"/>
          <w:sz w:val="24"/>
          <w:szCs w:val="24"/>
        </w:rPr>
        <w:t>za</w:t>
      </w:r>
      <w:r>
        <w:rPr>
          <w:rFonts w:ascii="Times New Roman" w:eastAsia="Calibri" w:hAnsi="Times New Roman" w:cs="Times New Roman"/>
          <w:sz w:val="24"/>
          <w:szCs w:val="24"/>
        </w:rPr>
        <w:t xml:space="preserve"> </w:t>
      </w:r>
      <w:r w:rsidRPr="00BE7654">
        <w:rPr>
          <w:rFonts w:ascii="Times New Roman" w:eastAsia="Calibri" w:hAnsi="Times New Roman" w:cs="Times New Roman"/>
          <w:sz w:val="24"/>
          <w:szCs w:val="24"/>
        </w:rPr>
        <w:t>zobowiązania podatkowe upadłego, także powstałe po ogłoszeniu upadłości</w:t>
      </w:r>
      <w:r>
        <w:rPr>
          <w:rFonts w:ascii="Times New Roman" w:eastAsia="Calibri" w:hAnsi="Times New Roman" w:cs="Times New Roman"/>
          <w:sz w:val="24"/>
          <w:szCs w:val="24"/>
        </w:rPr>
        <w:t xml:space="preserve">. </w:t>
      </w:r>
    </w:p>
    <w:p w:rsidR="00BE7654" w:rsidRPr="00394B84" w:rsidRDefault="00BE7654" w:rsidP="00BE765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Nabywca może używać dotychczasowego oznaczenia przedsiębiorstwa upadłego, jednakże gdy </w:t>
      </w:r>
      <w:r w:rsidR="00C21ACB">
        <w:rPr>
          <w:rFonts w:ascii="Times New Roman" w:eastAsia="Calibri" w:hAnsi="Times New Roman" w:cs="Times New Roman"/>
          <w:sz w:val="24"/>
          <w:szCs w:val="24"/>
        </w:rPr>
        <w:t>w oznaczeniu tym</w:t>
      </w:r>
      <w:r w:rsidRPr="00BE7654">
        <w:rPr>
          <w:rFonts w:ascii="Times New Roman" w:eastAsia="Calibri" w:hAnsi="Times New Roman" w:cs="Times New Roman"/>
          <w:sz w:val="24"/>
          <w:szCs w:val="24"/>
        </w:rPr>
        <w:t xml:space="preserve"> </w:t>
      </w:r>
      <w:r w:rsidR="00C21ACB" w:rsidRPr="00BE7654">
        <w:rPr>
          <w:rFonts w:ascii="Times New Roman" w:eastAsia="Calibri" w:hAnsi="Times New Roman" w:cs="Times New Roman"/>
          <w:sz w:val="24"/>
          <w:szCs w:val="24"/>
        </w:rPr>
        <w:t>mieści się nazwisko upadłego</w:t>
      </w:r>
      <w:r w:rsidR="00C21ACB">
        <w:rPr>
          <w:rFonts w:ascii="Times New Roman" w:eastAsia="Calibri" w:hAnsi="Times New Roman" w:cs="Times New Roman"/>
          <w:sz w:val="24"/>
          <w:szCs w:val="24"/>
        </w:rPr>
        <w:t xml:space="preserve">, </w:t>
      </w:r>
      <w:r w:rsidR="000422B9">
        <w:rPr>
          <w:rFonts w:ascii="Times New Roman" w:eastAsia="Calibri" w:hAnsi="Times New Roman" w:cs="Times New Roman"/>
          <w:sz w:val="24"/>
          <w:szCs w:val="24"/>
        </w:rPr>
        <w:t xml:space="preserve">może go używać </w:t>
      </w:r>
      <w:r w:rsidR="00C21ACB">
        <w:rPr>
          <w:rFonts w:ascii="Times New Roman" w:eastAsia="Calibri" w:hAnsi="Times New Roman" w:cs="Times New Roman"/>
          <w:sz w:val="24"/>
          <w:szCs w:val="24"/>
        </w:rPr>
        <w:t xml:space="preserve">tylko za </w:t>
      </w:r>
      <w:r w:rsidRPr="00BE7654">
        <w:rPr>
          <w:rFonts w:ascii="Times New Roman" w:eastAsia="Calibri" w:hAnsi="Times New Roman" w:cs="Times New Roman"/>
          <w:sz w:val="24"/>
          <w:szCs w:val="24"/>
        </w:rPr>
        <w:t xml:space="preserve">zgodą </w:t>
      </w:r>
      <w:r w:rsidR="00C21ACB">
        <w:rPr>
          <w:rFonts w:ascii="Times New Roman" w:eastAsia="Calibri" w:hAnsi="Times New Roman" w:cs="Times New Roman"/>
          <w:sz w:val="24"/>
          <w:szCs w:val="24"/>
        </w:rPr>
        <w:t>upadłego.</w:t>
      </w:r>
    </w:p>
    <w:p w:rsidR="00394B84" w:rsidRPr="00394B84" w:rsidRDefault="00394B84" w:rsidP="00394B84">
      <w:pPr>
        <w:spacing w:after="0" w:line="360" w:lineRule="auto"/>
        <w:jc w:val="both"/>
        <w:rPr>
          <w:rFonts w:ascii="Times New Roman" w:eastAsia="Calibri" w:hAnsi="Times New Roman" w:cs="Times New Roman"/>
          <w:sz w:val="24"/>
          <w:szCs w:val="24"/>
        </w:rPr>
      </w:pPr>
    </w:p>
    <w:p w:rsidR="00394B84" w:rsidRPr="00394B84" w:rsidRDefault="00B36B38" w:rsidP="00394B8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94B84" w:rsidRPr="00394B84">
        <w:rPr>
          <w:rFonts w:ascii="Times New Roman" w:eastAsia="Calibri" w:hAnsi="Times New Roman" w:cs="Times New Roman"/>
          <w:b/>
          <w:sz w:val="24"/>
          <w:szCs w:val="24"/>
        </w:rPr>
        <w:t>. Zbycie zorganizowanych części przedsiębiorstwa upadłego</w:t>
      </w:r>
    </w:p>
    <w:p w:rsidR="00394B84" w:rsidRPr="00394B84" w:rsidRDefault="00394B84" w:rsidP="00394B84">
      <w:pPr>
        <w:spacing w:after="0" w:line="360" w:lineRule="auto"/>
        <w:jc w:val="both"/>
        <w:rPr>
          <w:rFonts w:ascii="Times New Roman" w:eastAsia="Calibri" w:hAnsi="Times New Roman" w:cs="Times New Roman"/>
          <w:sz w:val="24"/>
          <w:szCs w:val="24"/>
        </w:rPr>
      </w:pPr>
    </w:p>
    <w:p w:rsidR="005B391C" w:rsidRDefault="005B391C" w:rsidP="005B391C">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 myśl art. 318 ust. 1 PU</w:t>
      </w:r>
      <w:r w:rsidR="00394B84" w:rsidRPr="00394B84">
        <w:rPr>
          <w:rFonts w:ascii="Times New Roman" w:eastAsia="Calibri" w:hAnsi="Times New Roman" w:cs="Times New Roman"/>
          <w:sz w:val="24"/>
          <w:szCs w:val="24"/>
        </w:rPr>
        <w:t>, w sytuacji, gdy sprzedaż przedsiębiorstwa upadłego jako całości nie jest możliwa ze względów ekonomicznych lub z innych przyczyn, syndyk może dokonać sprzedaży zorganizowanych części tego przedsiębiorstwa. Powinien on zatem dążyć do tego dopiero, gdy nie uda się zrealizować</w:t>
      </w:r>
      <w:r>
        <w:rPr>
          <w:rFonts w:ascii="Times New Roman" w:eastAsia="Calibri" w:hAnsi="Times New Roman" w:cs="Times New Roman"/>
          <w:sz w:val="24"/>
          <w:szCs w:val="24"/>
        </w:rPr>
        <w:t xml:space="preserve"> preferowanej przez przepisy PU</w:t>
      </w:r>
      <w:r w:rsidR="00394B84" w:rsidRPr="00394B84">
        <w:rPr>
          <w:rFonts w:ascii="Times New Roman" w:eastAsia="Calibri" w:hAnsi="Times New Roman" w:cs="Times New Roman"/>
          <w:sz w:val="24"/>
          <w:szCs w:val="24"/>
        </w:rPr>
        <w:t xml:space="preserve"> sprzedaży przedsiębiorstwa upadłego w całości. Przez zorganizowane części należy przy tym rozumieć wyodrębnione w ramach przedsiębiorstwa dłużnika, stanowiące jego wewnętrzną część zespoły składników materialnych i niematerialnych przeznaczonych do realizacji określonych zadań o charakterze gospodarczym. </w:t>
      </w:r>
    </w:p>
    <w:p w:rsidR="005B391C" w:rsidRDefault="00394B84" w:rsidP="005B391C">
      <w:pPr>
        <w:spacing w:after="0" w:line="360" w:lineRule="auto"/>
        <w:ind w:firstLine="708"/>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Sprzedaż zorganizowanej części przedsiębiorstwa wywołuje przy tym, co do zasady, takie same skutki jak sprzedaż przedsiębiorstwa jako całości</w:t>
      </w:r>
      <w:r w:rsidR="005B391C">
        <w:rPr>
          <w:rFonts w:ascii="Times New Roman" w:eastAsia="Calibri" w:hAnsi="Times New Roman" w:cs="Times New Roman"/>
          <w:sz w:val="24"/>
          <w:szCs w:val="24"/>
        </w:rPr>
        <w:t>. A</w:t>
      </w:r>
      <w:r w:rsidR="005B391C" w:rsidRPr="00394B84">
        <w:rPr>
          <w:rFonts w:ascii="Times New Roman" w:eastAsia="Calibri" w:hAnsi="Times New Roman" w:cs="Times New Roman"/>
          <w:sz w:val="24"/>
          <w:szCs w:val="24"/>
        </w:rPr>
        <w:t xml:space="preserve">nalogicznie, jak w przypadku sprzedaży przedsiębiorstwa upadłego w całości, również nabywca jego zorganizowanej części </w:t>
      </w:r>
      <w:r w:rsidR="005B391C" w:rsidRPr="00394B84">
        <w:rPr>
          <w:rFonts w:ascii="Times New Roman" w:eastAsia="Calibri" w:hAnsi="Times New Roman" w:cs="Times New Roman"/>
          <w:sz w:val="24"/>
          <w:szCs w:val="24"/>
        </w:rPr>
        <w:lastRenderedPageBreak/>
        <w:t>nabywa ją w stanie wolnym od  obciążeń. Ciążące na składnikach owej zorganizowanej części przedsiębiorstwa prawa zastawnicze wygasają wskutek jej zbycia</w:t>
      </w:r>
      <w:r w:rsidR="005B391C">
        <w:rPr>
          <w:rFonts w:ascii="Times New Roman" w:eastAsia="Calibri" w:hAnsi="Times New Roman" w:cs="Times New Roman"/>
          <w:sz w:val="24"/>
          <w:szCs w:val="24"/>
        </w:rPr>
        <w:t xml:space="preserve">, co </w:t>
      </w:r>
      <w:r w:rsidRPr="00394B84">
        <w:rPr>
          <w:rFonts w:ascii="Times New Roman" w:eastAsia="Calibri" w:hAnsi="Times New Roman" w:cs="Times New Roman"/>
          <w:sz w:val="24"/>
          <w:szCs w:val="24"/>
        </w:rPr>
        <w:t xml:space="preserve">nie pozbawia </w:t>
      </w:r>
      <w:r w:rsidR="005B391C">
        <w:rPr>
          <w:rFonts w:ascii="Times New Roman" w:eastAsia="Calibri" w:hAnsi="Times New Roman" w:cs="Times New Roman"/>
          <w:sz w:val="24"/>
          <w:szCs w:val="24"/>
        </w:rPr>
        <w:t xml:space="preserve">jednak </w:t>
      </w:r>
      <w:r w:rsidRPr="00394B84">
        <w:rPr>
          <w:rFonts w:ascii="Times New Roman" w:eastAsia="Calibri" w:hAnsi="Times New Roman" w:cs="Times New Roman"/>
          <w:sz w:val="24"/>
          <w:szCs w:val="24"/>
        </w:rPr>
        <w:t>wierzyciela rzeczowego prawa do uzyskania zaspokojenia na zasadach prz</w:t>
      </w:r>
      <w:r w:rsidR="005B391C">
        <w:rPr>
          <w:rFonts w:ascii="Times New Roman" w:eastAsia="Calibri" w:hAnsi="Times New Roman" w:cs="Times New Roman"/>
          <w:sz w:val="24"/>
          <w:szCs w:val="24"/>
        </w:rPr>
        <w:t>ewidzianych w art. 336 i 340 PU</w:t>
      </w:r>
      <w:r w:rsidRPr="00394B84">
        <w:rPr>
          <w:rFonts w:ascii="Times New Roman" w:eastAsia="Calibri" w:hAnsi="Times New Roman" w:cs="Times New Roman"/>
          <w:sz w:val="24"/>
          <w:szCs w:val="24"/>
        </w:rPr>
        <w:t>. Z kwoty uzyskanej w wyniku sprzedaży zorganizowanej części przedsiębiorstwa upadłego syndyk wydziela zatem kwotę odpowiadającą wartości przedmiotu obciążonego hipoteką bądź zastawem, z przeznaczeniem na zaspokojenie wierzyciela rzeczowego upadłego zgodnie z prawem odrębności</w:t>
      </w:r>
      <w:r w:rsidR="007D6DE9">
        <w:rPr>
          <w:rFonts w:ascii="Times New Roman" w:eastAsia="Calibri" w:hAnsi="Times New Roman" w:cs="Times New Roman"/>
          <w:sz w:val="24"/>
          <w:szCs w:val="24"/>
        </w:rPr>
        <w:t>.</w:t>
      </w:r>
      <w:r w:rsidRPr="00394B84">
        <w:rPr>
          <w:rFonts w:ascii="Times New Roman" w:eastAsia="Calibri" w:hAnsi="Times New Roman" w:cs="Times New Roman"/>
          <w:sz w:val="24"/>
          <w:szCs w:val="24"/>
        </w:rPr>
        <w:t xml:space="preserve"> Wartość składników mienia upadłego obciążonych prawami zastawniczymi podlega przy tym ujawnieniu w umowie sprzedaży zorganizowanej części przedsiębiorstwa</w:t>
      </w:r>
      <w:r w:rsidR="005B391C">
        <w:rPr>
          <w:rFonts w:ascii="Times New Roman" w:eastAsia="Calibri" w:hAnsi="Times New Roman" w:cs="Times New Roman"/>
          <w:sz w:val="24"/>
          <w:szCs w:val="24"/>
        </w:rPr>
        <w:t>.</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 xml:space="preserve">W kontekście omawianej problematyki </w:t>
      </w:r>
      <w:r w:rsidR="005B391C">
        <w:rPr>
          <w:rFonts w:ascii="Times New Roman" w:eastAsia="Calibri" w:hAnsi="Times New Roman" w:cs="Times New Roman"/>
          <w:sz w:val="24"/>
          <w:szCs w:val="24"/>
        </w:rPr>
        <w:t>warto</w:t>
      </w:r>
      <w:r w:rsidRPr="00394B84">
        <w:rPr>
          <w:rFonts w:ascii="Times New Roman" w:eastAsia="Calibri" w:hAnsi="Times New Roman" w:cs="Times New Roman"/>
          <w:sz w:val="24"/>
          <w:szCs w:val="24"/>
        </w:rPr>
        <w:t xml:space="preserve"> także zwró</w:t>
      </w:r>
      <w:r w:rsidR="005B391C">
        <w:rPr>
          <w:rFonts w:ascii="Times New Roman" w:eastAsia="Calibri" w:hAnsi="Times New Roman" w:cs="Times New Roman"/>
          <w:sz w:val="24"/>
          <w:szCs w:val="24"/>
        </w:rPr>
        <w:t>cić uwagę na art. 318 ust. 2 PU</w:t>
      </w:r>
      <w:r w:rsidRPr="00394B84">
        <w:rPr>
          <w:rFonts w:ascii="Times New Roman" w:eastAsia="Calibri" w:hAnsi="Times New Roman" w:cs="Times New Roman"/>
          <w:sz w:val="24"/>
          <w:szCs w:val="24"/>
        </w:rPr>
        <w:t>, z</w:t>
      </w:r>
      <w:r w:rsidR="005B391C">
        <w:rPr>
          <w:rFonts w:ascii="Times New Roman" w:eastAsia="Calibri" w:hAnsi="Times New Roman" w:cs="Times New Roman"/>
          <w:sz w:val="24"/>
          <w:szCs w:val="24"/>
        </w:rPr>
        <w:t xml:space="preserve">godnie z którym przepis ust. 1 </w:t>
      </w:r>
      <w:r w:rsidRPr="00394B84">
        <w:rPr>
          <w:rFonts w:ascii="Times New Roman" w:eastAsia="Calibri" w:hAnsi="Times New Roman" w:cs="Times New Roman"/>
          <w:sz w:val="24"/>
          <w:szCs w:val="24"/>
        </w:rPr>
        <w:t>stosuje się odpowiednio do zbioru rzeczy lub praw obciążonych zastawem rejestrowym, które wchodzą w skład przedsiębiorstwa. Suma uzyskana ze sprzedaży takiego zbioru podlega podziałowi stosownie do przep</w:t>
      </w:r>
      <w:r w:rsidR="005B391C">
        <w:rPr>
          <w:rFonts w:ascii="Times New Roman" w:eastAsia="Calibri" w:hAnsi="Times New Roman" w:cs="Times New Roman"/>
          <w:sz w:val="24"/>
          <w:szCs w:val="24"/>
        </w:rPr>
        <w:t>isów art. 336 i 340 PU</w:t>
      </w:r>
      <w:r w:rsidRPr="00394B84">
        <w:rPr>
          <w:rFonts w:ascii="Times New Roman" w:eastAsia="Calibri" w:hAnsi="Times New Roman" w:cs="Times New Roman"/>
          <w:sz w:val="24"/>
          <w:szCs w:val="24"/>
        </w:rPr>
        <w:t xml:space="preserve"> (art. 318 ust. 2 </w:t>
      </w:r>
      <w:proofErr w:type="spellStart"/>
      <w:r w:rsidRPr="00394B84">
        <w:rPr>
          <w:rFonts w:ascii="Times New Roman" w:eastAsia="Calibri" w:hAnsi="Times New Roman" w:cs="Times New Roman"/>
          <w:i/>
          <w:sz w:val="24"/>
          <w:szCs w:val="24"/>
        </w:rPr>
        <w:t>in</w:t>
      </w:r>
      <w:proofErr w:type="spellEnd"/>
      <w:r w:rsidRPr="00394B84">
        <w:rPr>
          <w:rFonts w:ascii="Times New Roman" w:eastAsia="Calibri" w:hAnsi="Times New Roman" w:cs="Times New Roman"/>
          <w:i/>
          <w:sz w:val="24"/>
          <w:szCs w:val="24"/>
        </w:rPr>
        <w:t xml:space="preserve"> </w:t>
      </w:r>
      <w:proofErr w:type="spellStart"/>
      <w:r w:rsidRPr="00394B84">
        <w:rPr>
          <w:rFonts w:ascii="Times New Roman" w:eastAsia="Calibri" w:hAnsi="Times New Roman" w:cs="Times New Roman"/>
          <w:i/>
          <w:sz w:val="24"/>
          <w:szCs w:val="24"/>
        </w:rPr>
        <w:t>fine</w:t>
      </w:r>
      <w:proofErr w:type="spellEnd"/>
      <w:r w:rsidRPr="00394B84">
        <w:rPr>
          <w:rFonts w:ascii="Times New Roman" w:eastAsia="Calibri" w:hAnsi="Times New Roman" w:cs="Times New Roman"/>
          <w:sz w:val="24"/>
          <w:szCs w:val="24"/>
        </w:rPr>
        <w:t>). Regulacja ta związana jest z faktem, iż przedmiotem zastawu rejestrowego, w myśl przepisów art</w:t>
      </w:r>
      <w:r w:rsidRPr="00091A34">
        <w:rPr>
          <w:rFonts w:ascii="Times New Roman" w:eastAsia="Calibri" w:hAnsi="Times New Roman" w:cs="Times New Roman"/>
          <w:sz w:val="24"/>
          <w:szCs w:val="24"/>
        </w:rPr>
        <w:t xml:space="preserve">. 7 ust. 2 </w:t>
      </w:r>
      <w:proofErr w:type="spellStart"/>
      <w:r w:rsidRPr="00091A34">
        <w:rPr>
          <w:rFonts w:ascii="Times New Roman" w:eastAsia="Calibri" w:hAnsi="Times New Roman" w:cs="Times New Roman"/>
          <w:sz w:val="24"/>
          <w:szCs w:val="24"/>
        </w:rPr>
        <w:t>pkt</w:t>
      </w:r>
      <w:proofErr w:type="spellEnd"/>
      <w:r w:rsidRPr="00091A34">
        <w:rPr>
          <w:rFonts w:ascii="Times New Roman" w:eastAsia="Calibri" w:hAnsi="Times New Roman" w:cs="Times New Roman"/>
          <w:sz w:val="24"/>
          <w:szCs w:val="24"/>
        </w:rPr>
        <w:t xml:space="preserve"> 3 </w:t>
      </w:r>
      <w:r w:rsidR="005B391C" w:rsidRPr="00091A34">
        <w:rPr>
          <w:rFonts w:ascii="Times New Roman" w:eastAsia="Calibri" w:hAnsi="Times New Roman" w:cs="Times New Roman"/>
          <w:sz w:val="24"/>
          <w:szCs w:val="24"/>
        </w:rPr>
        <w:t>UZR</w:t>
      </w:r>
      <w:r w:rsidRPr="00091A34">
        <w:rPr>
          <w:rFonts w:ascii="Times New Roman" w:eastAsia="Calibri" w:hAnsi="Times New Roman" w:cs="Times New Roman"/>
          <w:sz w:val="24"/>
          <w:szCs w:val="24"/>
        </w:rPr>
        <w:t xml:space="preserve"> może być nie tylko konkretnie oznaczona rzecz ruchoma bądź prawo zbywalne, ale również zbiór takich rzeczy bądź praw, stanowiący całość gospodarczą, choćby jego skład był zmienny</w:t>
      </w:r>
      <w:r w:rsidRPr="00394B84">
        <w:rPr>
          <w:rFonts w:ascii="Times New Roman" w:eastAsia="Calibri" w:hAnsi="Times New Roman" w:cs="Times New Roman"/>
          <w:sz w:val="24"/>
          <w:szCs w:val="24"/>
        </w:rPr>
        <w:t>. Zbioru takiego nie można przy tym utożsamiać z przedsiębiorstwem upadłego, które jako jurydyczna całość</w:t>
      </w:r>
      <w:r w:rsidR="002C0F9D">
        <w:rPr>
          <w:rFonts w:ascii="Times New Roman" w:eastAsia="Calibri" w:hAnsi="Times New Roman" w:cs="Times New Roman"/>
          <w:sz w:val="24"/>
          <w:szCs w:val="24"/>
        </w:rPr>
        <w:t>, w myśl przeważającego poglądu doktryny,</w:t>
      </w:r>
      <w:r w:rsidRPr="00394B84">
        <w:rPr>
          <w:rFonts w:ascii="Times New Roman" w:eastAsia="Calibri" w:hAnsi="Times New Roman" w:cs="Times New Roman"/>
          <w:sz w:val="24"/>
          <w:szCs w:val="24"/>
        </w:rPr>
        <w:t xml:space="preserve"> nie może być przedmiotem zastawu rejestrowego. Może on wprawdzie w konkretnej sytuacji stanowić równocześnie zorganizowaną część przedsiębiorstwa upadłego, ale nie zawsze musi być z częścią taką tożsamy. Jednakże, ze względu </w:t>
      </w:r>
      <w:r w:rsidR="002C0F9D">
        <w:rPr>
          <w:rFonts w:ascii="Times New Roman" w:eastAsia="Calibri" w:hAnsi="Times New Roman" w:cs="Times New Roman"/>
          <w:sz w:val="24"/>
          <w:szCs w:val="24"/>
        </w:rPr>
        <w:t>na regulację art. 318 ust. 1 PU</w:t>
      </w:r>
      <w:r w:rsidRPr="00394B84">
        <w:rPr>
          <w:rFonts w:ascii="Times New Roman" w:eastAsia="Calibri" w:hAnsi="Times New Roman" w:cs="Times New Roman"/>
          <w:sz w:val="24"/>
          <w:szCs w:val="24"/>
        </w:rPr>
        <w:t xml:space="preserve">, </w:t>
      </w:r>
      <w:r w:rsidR="002C0F9D">
        <w:rPr>
          <w:rFonts w:ascii="Times New Roman" w:eastAsia="Calibri" w:hAnsi="Times New Roman" w:cs="Times New Roman"/>
          <w:sz w:val="24"/>
          <w:szCs w:val="24"/>
        </w:rPr>
        <w:t>regulacje</w:t>
      </w:r>
      <w:r w:rsidRPr="00394B84">
        <w:rPr>
          <w:rFonts w:ascii="Times New Roman" w:eastAsia="Calibri" w:hAnsi="Times New Roman" w:cs="Times New Roman"/>
          <w:sz w:val="24"/>
          <w:szCs w:val="24"/>
        </w:rPr>
        <w:t xml:space="preserve"> dotyczące sprzedaży zorganizowanej części przedsiębiorstwa upadłego odnieść należy również do zbycia przez syndyka wchodzącego w skład przedsiębiorstwa dłużnika zbioru rzeczy lub praw obciążonych zastawem rejestrowym. Tak, jak w przypadku sprzedaży przedsiębiorstwa upadłego w całości, lub jego zorganizowanej części, zbycie przez syndyka obciążonego zastawem rejestrowym zbioru rzeczy lub praw, </w:t>
      </w:r>
      <w:r w:rsidR="002C0F9D">
        <w:rPr>
          <w:rFonts w:ascii="Times New Roman" w:eastAsia="Calibri" w:hAnsi="Times New Roman" w:cs="Times New Roman"/>
          <w:sz w:val="24"/>
          <w:szCs w:val="24"/>
        </w:rPr>
        <w:t>powoduje że zastaw ten wygasa. N</w:t>
      </w:r>
      <w:r w:rsidRPr="00394B84">
        <w:rPr>
          <w:rFonts w:ascii="Times New Roman" w:eastAsia="Calibri" w:hAnsi="Times New Roman" w:cs="Times New Roman"/>
          <w:sz w:val="24"/>
          <w:szCs w:val="24"/>
        </w:rPr>
        <w:t xml:space="preserve">abywca </w:t>
      </w:r>
      <w:r w:rsidR="002C0F9D">
        <w:rPr>
          <w:rFonts w:ascii="Times New Roman" w:eastAsia="Calibri" w:hAnsi="Times New Roman" w:cs="Times New Roman"/>
          <w:sz w:val="24"/>
          <w:szCs w:val="24"/>
        </w:rPr>
        <w:t>uzyskuje zatem</w:t>
      </w:r>
      <w:r w:rsidRPr="00394B84">
        <w:rPr>
          <w:rFonts w:ascii="Times New Roman" w:eastAsia="Calibri" w:hAnsi="Times New Roman" w:cs="Times New Roman"/>
          <w:sz w:val="24"/>
          <w:szCs w:val="24"/>
        </w:rPr>
        <w:t xml:space="preserve"> owe rzeczy lub prawa w stanie wolnym od obciążeń. Nie pozbawia to jednak zastawnika rejestrowego prawa do uzyskania zaspokojenia w oparciu o prawo odrębności, gdyż, na co wyraź</w:t>
      </w:r>
      <w:r w:rsidR="002C0F9D">
        <w:rPr>
          <w:rFonts w:ascii="Times New Roman" w:eastAsia="Calibri" w:hAnsi="Times New Roman" w:cs="Times New Roman"/>
          <w:sz w:val="24"/>
          <w:szCs w:val="24"/>
        </w:rPr>
        <w:t>nie wskazuje art. 318 ust. 2 PU</w:t>
      </w:r>
      <w:r w:rsidRPr="00394B84">
        <w:rPr>
          <w:rFonts w:ascii="Times New Roman" w:eastAsia="Calibri" w:hAnsi="Times New Roman" w:cs="Times New Roman"/>
          <w:sz w:val="24"/>
          <w:szCs w:val="24"/>
        </w:rPr>
        <w:t>, suma uzyskana ze sprzedaży takiego zbioru podlega podziałowi na zasadach prz</w:t>
      </w:r>
      <w:r w:rsidR="002C0F9D">
        <w:rPr>
          <w:rFonts w:ascii="Times New Roman" w:eastAsia="Calibri" w:hAnsi="Times New Roman" w:cs="Times New Roman"/>
          <w:sz w:val="24"/>
          <w:szCs w:val="24"/>
        </w:rPr>
        <w:t>ewidzianych w art. 336 i 340 PU, a zatem w oparciu o prawo odrębności</w:t>
      </w:r>
      <w:r w:rsidRPr="00394B84">
        <w:rPr>
          <w:rFonts w:ascii="Times New Roman" w:eastAsia="Calibri" w:hAnsi="Times New Roman" w:cs="Times New Roman"/>
          <w:sz w:val="24"/>
          <w:szCs w:val="24"/>
        </w:rPr>
        <w:t>. W pierwszej kolejności z uzyskanej sumy zaspokojona zostanie zatem zastawnik rejestrowy, a dopiero ewentualna nadwyżka wchodzi do funduszów masy upadłości.</w:t>
      </w:r>
    </w:p>
    <w:p w:rsidR="00394B84" w:rsidRDefault="00394B84" w:rsidP="00394B84">
      <w:pPr>
        <w:spacing w:after="0" w:line="360" w:lineRule="auto"/>
        <w:jc w:val="both"/>
        <w:rPr>
          <w:rFonts w:ascii="Times New Roman" w:eastAsia="Calibri" w:hAnsi="Times New Roman" w:cs="Times New Roman"/>
          <w:sz w:val="24"/>
          <w:szCs w:val="24"/>
        </w:rPr>
      </w:pPr>
    </w:p>
    <w:p w:rsidR="002C0F9D" w:rsidRPr="009A7B71" w:rsidRDefault="003C0635" w:rsidP="002C0F9D">
      <w:pPr>
        <w:pStyle w:val="Akapitzlist"/>
        <w:numPr>
          <w:ilvl w:val="0"/>
          <w:numId w:val="44"/>
        </w:numPr>
        <w:spacing w:after="0" w:line="360" w:lineRule="auto"/>
        <w:ind w:left="284" w:hanging="284"/>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Likwidacja</w:t>
      </w:r>
      <w:r w:rsidR="002C0F9D" w:rsidRPr="009A7B71">
        <w:rPr>
          <w:rFonts w:ascii="Times New Roman" w:eastAsia="Calibri" w:hAnsi="Times New Roman" w:cs="Times New Roman"/>
          <w:b/>
          <w:sz w:val="24"/>
          <w:szCs w:val="24"/>
        </w:rPr>
        <w:t xml:space="preserve"> poszczególnych składników masy</w:t>
      </w:r>
    </w:p>
    <w:p w:rsidR="002C0F9D" w:rsidRDefault="002C0F9D" w:rsidP="00394B84">
      <w:pPr>
        <w:spacing w:after="0" w:line="360" w:lineRule="auto"/>
        <w:jc w:val="both"/>
        <w:rPr>
          <w:rFonts w:ascii="Times New Roman" w:eastAsia="Calibri" w:hAnsi="Times New Roman" w:cs="Times New Roman"/>
          <w:sz w:val="24"/>
          <w:szCs w:val="24"/>
        </w:rPr>
      </w:pPr>
    </w:p>
    <w:p w:rsidR="003C0635" w:rsidRPr="003C0635" w:rsidRDefault="009A7B71" w:rsidP="003C0635">
      <w:pPr>
        <w:spacing w:after="0" w:line="36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niepowodzenia próby zbycia przedsiębiorstwa dłużnika w całości, lub jego zorganizowanych części, syndyk dokonuje likwidacji masy upadłości poprzez sprzedaż </w:t>
      </w:r>
      <w:r w:rsidR="003C0635">
        <w:rPr>
          <w:rFonts w:ascii="Times New Roman" w:eastAsia="Calibri" w:hAnsi="Times New Roman" w:cs="Times New Roman"/>
          <w:sz w:val="24"/>
          <w:szCs w:val="24"/>
        </w:rPr>
        <w:t xml:space="preserve">poszczególnych wchodzących w jej skład składników majątkowych, ewentualnie ściągniecie wierzytelności upadłego. Sprzedaż ta może co do zasady </w:t>
      </w:r>
      <w:r w:rsidR="003C0635" w:rsidRPr="003C0635">
        <w:rPr>
          <w:rFonts w:ascii="Times New Roman" w:eastAsia="Calibri" w:hAnsi="Times New Roman" w:cs="Times New Roman"/>
          <w:sz w:val="24"/>
          <w:szCs w:val="24"/>
        </w:rPr>
        <w:t>nastąpić w drodze przetargu lub aukcji, do których przepisy Kodeksu</w:t>
      </w:r>
      <w:r w:rsidR="003C0635">
        <w:rPr>
          <w:rFonts w:ascii="Times New Roman" w:eastAsia="Calibri" w:hAnsi="Times New Roman" w:cs="Times New Roman"/>
          <w:sz w:val="24"/>
          <w:szCs w:val="24"/>
        </w:rPr>
        <w:t xml:space="preserve"> </w:t>
      </w:r>
      <w:r w:rsidR="003C0635" w:rsidRPr="003C0635">
        <w:rPr>
          <w:rFonts w:ascii="Times New Roman" w:eastAsia="Calibri" w:hAnsi="Times New Roman" w:cs="Times New Roman"/>
          <w:sz w:val="24"/>
          <w:szCs w:val="24"/>
        </w:rPr>
        <w:t>cywilnego stosuje się odpowiednio, z tym że:</w:t>
      </w:r>
    </w:p>
    <w:p w:rsidR="003C0635" w:rsidRP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New Roman" w:eastAsia="Calibri" w:hAnsi="Times New Roman" w:cs="Times New Roman"/>
          <w:sz w:val="24"/>
          <w:szCs w:val="24"/>
        </w:rPr>
        <w:t>warunki przetargu lub aukcji zatwierdza sędzia-komisarz;</w:t>
      </w:r>
    </w:p>
    <w:p w:rsidR="003C0635" w:rsidRP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New Roman" w:eastAsia="Calibri" w:hAnsi="Times New Roman" w:cs="Times New Roman"/>
          <w:sz w:val="24"/>
          <w:szCs w:val="24"/>
        </w:rPr>
        <w:t>o przetargu lub aukcji należy zawiadomić przez obwieszczenie co najmniej na dwa tygodnie, a jeżeli przetarg albo aukcja dotyczy przedsiębiorstwa spółki publicznej – co najmniej na sześć tygodni przed terminem posiedzenia wyznaczonego w celu ich przeprowadzenia;</w:t>
      </w:r>
    </w:p>
    <w:p w:rsidR="003C0635" w:rsidRP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New Roman" w:eastAsia="Calibri" w:hAnsi="Times New Roman" w:cs="Times New Roman"/>
          <w:sz w:val="24"/>
          <w:szCs w:val="24"/>
        </w:rPr>
        <w:t>przetarg lub aukcję przeprowadza się na posiedzeniu jawnym;</w:t>
      </w:r>
    </w:p>
    <w:p w:rsid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New Roman" w:eastAsia="Calibri" w:hAnsi="Times New Roman" w:cs="Times New Roman"/>
          <w:sz w:val="24"/>
          <w:szCs w:val="24"/>
        </w:rPr>
        <w:t>przetarg lub aukcję prowadzi syndyk pod nadzorem sędziego-komisarza;</w:t>
      </w:r>
    </w:p>
    <w:p w:rsidR="003C0635" w:rsidRP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w:hAnsi="Times" w:cs="Times"/>
          <w:sz w:val="24"/>
          <w:szCs w:val="24"/>
        </w:rPr>
        <w:t>wyboru oferenta dokonuje syndyk; wybór wymaga zatwierdzenia przez</w:t>
      </w:r>
      <w:r>
        <w:rPr>
          <w:rFonts w:ascii="Times" w:hAnsi="Times" w:cs="Times"/>
          <w:sz w:val="24"/>
          <w:szCs w:val="24"/>
        </w:rPr>
        <w:t xml:space="preserve"> </w:t>
      </w:r>
      <w:r w:rsidRPr="003C0635">
        <w:rPr>
          <w:rFonts w:ascii="Times" w:hAnsi="Times" w:cs="Times"/>
          <w:sz w:val="24"/>
          <w:szCs w:val="24"/>
        </w:rPr>
        <w:t>sędziego-komisarza;</w:t>
      </w:r>
    </w:p>
    <w:p w:rsidR="003C0635" w:rsidRP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w:hAnsi="Times" w:cs="Times"/>
          <w:sz w:val="24"/>
          <w:szCs w:val="24"/>
        </w:rPr>
        <w:t>postanowienie zatwierdzające wybór oferenta sędzia-komisarz może wydać</w:t>
      </w:r>
      <w:r>
        <w:rPr>
          <w:rFonts w:ascii="Times" w:hAnsi="Times" w:cs="Times"/>
          <w:sz w:val="24"/>
          <w:szCs w:val="24"/>
        </w:rPr>
        <w:t xml:space="preserve"> </w:t>
      </w:r>
      <w:r w:rsidRPr="003C0635">
        <w:rPr>
          <w:rFonts w:ascii="Times" w:hAnsi="Times" w:cs="Times"/>
          <w:sz w:val="24"/>
          <w:szCs w:val="24"/>
        </w:rPr>
        <w:t>na posiedzeniu niejawnym;</w:t>
      </w:r>
    </w:p>
    <w:p w:rsidR="003C0635" w:rsidRPr="003C0635" w:rsidRDefault="003C0635" w:rsidP="003C0635">
      <w:pPr>
        <w:pStyle w:val="Akapitzlist"/>
        <w:numPr>
          <w:ilvl w:val="1"/>
          <w:numId w:val="44"/>
        </w:numPr>
        <w:spacing w:after="0" w:line="360" w:lineRule="auto"/>
        <w:ind w:left="567" w:hanging="567"/>
        <w:jc w:val="both"/>
        <w:rPr>
          <w:rFonts w:ascii="Times New Roman" w:eastAsia="Calibri" w:hAnsi="Times New Roman" w:cs="Times New Roman"/>
          <w:sz w:val="24"/>
          <w:szCs w:val="24"/>
        </w:rPr>
      </w:pPr>
      <w:r w:rsidRPr="003C0635">
        <w:rPr>
          <w:rFonts w:ascii="Times" w:hAnsi="Times" w:cs="Times"/>
          <w:sz w:val="24"/>
          <w:szCs w:val="24"/>
        </w:rPr>
        <w:t>sędzia-komisarz może odroczyć zatwierdzenie wyboru oferenta o tydzień;</w:t>
      </w:r>
      <w:r>
        <w:rPr>
          <w:rFonts w:ascii="Times" w:hAnsi="Times" w:cs="Times"/>
          <w:sz w:val="24"/>
          <w:szCs w:val="24"/>
        </w:rPr>
        <w:t xml:space="preserve"> </w:t>
      </w:r>
      <w:r w:rsidRPr="003C0635">
        <w:rPr>
          <w:rFonts w:ascii="Times" w:hAnsi="Times" w:cs="Times"/>
          <w:sz w:val="24"/>
          <w:szCs w:val="24"/>
        </w:rPr>
        <w:t>w tym przypadku postanowienie o zatwierdzeniu wyboru oferent</w:t>
      </w:r>
      <w:r>
        <w:rPr>
          <w:rFonts w:ascii="Times" w:hAnsi="Times" w:cs="Times"/>
          <w:sz w:val="24"/>
          <w:szCs w:val="24"/>
        </w:rPr>
        <w:t xml:space="preserve">a </w:t>
      </w:r>
      <w:r w:rsidRPr="003C0635">
        <w:rPr>
          <w:rFonts w:ascii="Times" w:hAnsi="Times" w:cs="Times"/>
          <w:sz w:val="24"/>
          <w:szCs w:val="24"/>
        </w:rPr>
        <w:t>obwieszcza się.</w:t>
      </w:r>
    </w:p>
    <w:p w:rsidR="003C0635" w:rsidRDefault="003C0635" w:rsidP="003C0635">
      <w:pPr>
        <w:spacing w:after="0" w:line="360" w:lineRule="auto"/>
        <w:jc w:val="both"/>
        <w:rPr>
          <w:rFonts w:ascii="Times New Roman" w:eastAsia="Calibri" w:hAnsi="Times New Roman" w:cs="Times New Roman"/>
          <w:sz w:val="24"/>
          <w:szCs w:val="24"/>
        </w:rPr>
      </w:pPr>
    </w:p>
    <w:p w:rsidR="002C0F9D" w:rsidRDefault="003C0635" w:rsidP="003C063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Zgodne z art. 321 ust. 1 PU, s</w:t>
      </w:r>
      <w:r w:rsidRPr="003C0635">
        <w:rPr>
          <w:rFonts w:ascii="Times New Roman" w:eastAsia="Calibri" w:hAnsi="Times New Roman" w:cs="Times New Roman"/>
          <w:sz w:val="24"/>
          <w:szCs w:val="24"/>
        </w:rPr>
        <w:t>yndyk zawiera umowę sprzedaży w terminie określonym przez</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sędziego-komisarza, nie dłuższym niż cztery miesiące od dnia zatwierdzenia</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wyboru oferenta przez sędziego-komisarza.</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Jeżeli do zawarcia umowy nie dojdzie z winy oferenta, sędzia-komisarz</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wydaje postanowienie o ogłoszeniu nowego przetargu albo aukcji, w których nie</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może uczestniczyć oferent, który nie zawarł umowy</w:t>
      </w:r>
      <w:r>
        <w:rPr>
          <w:rFonts w:ascii="Times New Roman" w:eastAsia="Calibri" w:hAnsi="Times New Roman" w:cs="Times New Roman"/>
          <w:sz w:val="24"/>
          <w:szCs w:val="24"/>
        </w:rPr>
        <w:t>.</w:t>
      </w:r>
    </w:p>
    <w:p w:rsidR="000422B9" w:rsidRDefault="000422B9" w:rsidP="003C0635">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Za zgodą rady wierzycieli syndyk może również dokonać sprzedaży składników masy upadłości bez przetargu lub aukcji z tzw. „wolnej ręki” - syndyk może w tym przypadku stosować według uznania</w:t>
      </w:r>
      <w:r w:rsidRPr="000422B9">
        <w:rPr>
          <w:rFonts w:ascii="Times New Roman" w:eastAsia="Calibri" w:hAnsi="Times New Roman" w:cs="Times New Roman"/>
          <w:sz w:val="24"/>
          <w:szCs w:val="24"/>
        </w:rPr>
        <w:t xml:space="preserve"> różne metody dopuszczone przez przepisy prawa cywilnego</w:t>
      </w:r>
      <w:r>
        <w:rPr>
          <w:rFonts w:ascii="Times New Roman" w:eastAsia="Calibri" w:hAnsi="Times New Roman" w:cs="Times New Roman"/>
          <w:sz w:val="24"/>
          <w:szCs w:val="24"/>
        </w:rPr>
        <w:t xml:space="preserve">, mające doprowadzić do </w:t>
      </w:r>
      <w:r w:rsidRPr="000422B9">
        <w:rPr>
          <w:rFonts w:ascii="Times New Roman" w:eastAsia="Calibri" w:hAnsi="Times New Roman" w:cs="Times New Roman"/>
          <w:sz w:val="24"/>
          <w:szCs w:val="24"/>
        </w:rPr>
        <w:t xml:space="preserve"> </w:t>
      </w:r>
      <w:r>
        <w:rPr>
          <w:rFonts w:ascii="Times New Roman" w:eastAsia="Calibri" w:hAnsi="Times New Roman" w:cs="Times New Roman"/>
          <w:sz w:val="24"/>
          <w:szCs w:val="24"/>
        </w:rPr>
        <w:t>zawarcia umowy</w:t>
      </w:r>
      <w:r w:rsidRPr="000422B9">
        <w:rPr>
          <w:rFonts w:ascii="Times New Roman" w:eastAsia="Calibri" w:hAnsi="Times New Roman" w:cs="Times New Roman"/>
          <w:sz w:val="24"/>
          <w:szCs w:val="24"/>
        </w:rPr>
        <w:t xml:space="preserve"> sprzedaż</w:t>
      </w:r>
      <w:r>
        <w:rPr>
          <w:rFonts w:ascii="Times New Roman" w:eastAsia="Calibri" w:hAnsi="Times New Roman" w:cs="Times New Roman"/>
          <w:sz w:val="24"/>
          <w:szCs w:val="24"/>
        </w:rPr>
        <w:t>y składników masy upadłości</w:t>
      </w:r>
      <w:r w:rsidR="00316E88">
        <w:rPr>
          <w:rFonts w:ascii="Times New Roman" w:eastAsia="Calibri" w:hAnsi="Times New Roman" w:cs="Times New Roman"/>
          <w:sz w:val="24"/>
          <w:szCs w:val="24"/>
        </w:rPr>
        <w:t xml:space="preserve"> (z</w:t>
      </w:r>
      <w:r w:rsidRPr="000422B9">
        <w:rPr>
          <w:rFonts w:ascii="Times New Roman" w:eastAsia="Calibri" w:hAnsi="Times New Roman" w:cs="Times New Roman"/>
          <w:sz w:val="24"/>
          <w:szCs w:val="24"/>
        </w:rPr>
        <w:t>aproszenie do składania ofert, złożenie oferty przez nabywcę i jej przyjęcie przez syndyka, rokowania prowadzone z nabywcami</w:t>
      </w:r>
      <w:r w:rsidR="00316E88">
        <w:rPr>
          <w:rFonts w:ascii="Times New Roman" w:eastAsia="Calibri" w:hAnsi="Times New Roman" w:cs="Times New Roman"/>
          <w:sz w:val="24"/>
          <w:szCs w:val="24"/>
        </w:rPr>
        <w:t>, itp.).</w:t>
      </w:r>
      <w:r>
        <w:rPr>
          <w:rFonts w:ascii="Times New Roman" w:eastAsia="Calibri" w:hAnsi="Times New Roman" w:cs="Times New Roman"/>
          <w:sz w:val="24"/>
          <w:szCs w:val="24"/>
        </w:rPr>
        <w:t xml:space="preserve">  </w:t>
      </w:r>
    </w:p>
    <w:p w:rsidR="003C0635" w:rsidRDefault="003C0635" w:rsidP="003C0635">
      <w:pPr>
        <w:spacing w:after="0" w:line="360" w:lineRule="auto"/>
        <w:ind w:firstLine="567"/>
        <w:jc w:val="both"/>
        <w:rPr>
          <w:rFonts w:ascii="Times New Roman" w:eastAsia="Calibri" w:hAnsi="Times New Roman" w:cs="Times New Roman"/>
          <w:sz w:val="24"/>
          <w:szCs w:val="24"/>
        </w:rPr>
      </w:pPr>
      <w:r w:rsidRPr="003C0635">
        <w:rPr>
          <w:rFonts w:ascii="Times New Roman" w:eastAsia="Calibri" w:hAnsi="Times New Roman" w:cs="Times New Roman"/>
          <w:sz w:val="24"/>
          <w:szCs w:val="24"/>
        </w:rPr>
        <w:lastRenderedPageBreak/>
        <w:t>Likwidacja wierzytelności upadłego</w:t>
      </w:r>
      <w:r>
        <w:rPr>
          <w:rFonts w:ascii="Times New Roman" w:eastAsia="Calibri" w:hAnsi="Times New Roman" w:cs="Times New Roman"/>
          <w:sz w:val="24"/>
          <w:szCs w:val="24"/>
        </w:rPr>
        <w:t>, zgodnie z  art</w:t>
      </w:r>
      <w:r>
        <w:rPr>
          <w:rFonts w:ascii="Times New Roman" w:eastAsia="Calibri" w:hAnsi="Times New Roman" w:cs="Times New Roman"/>
          <w:bCs/>
          <w:sz w:val="24"/>
          <w:szCs w:val="24"/>
        </w:rPr>
        <w:t xml:space="preserve">. 331 ust. </w:t>
      </w:r>
      <w:r w:rsidRPr="003C0635">
        <w:rPr>
          <w:rFonts w:ascii="Times New Roman" w:eastAsia="Calibri" w:hAnsi="Times New Roman" w:cs="Times New Roman"/>
          <w:sz w:val="24"/>
          <w:szCs w:val="24"/>
        </w:rPr>
        <w:t>1</w:t>
      </w:r>
      <w:r>
        <w:rPr>
          <w:rFonts w:ascii="Times New Roman" w:eastAsia="Calibri" w:hAnsi="Times New Roman" w:cs="Times New Roman"/>
          <w:sz w:val="24"/>
          <w:szCs w:val="24"/>
        </w:rPr>
        <w:t xml:space="preserve"> PU</w:t>
      </w:r>
      <w:r w:rsidRPr="003C0635">
        <w:rPr>
          <w:rFonts w:ascii="Times New Roman" w:eastAsia="Calibri" w:hAnsi="Times New Roman" w:cs="Times New Roman"/>
          <w:sz w:val="24"/>
          <w:szCs w:val="24"/>
        </w:rPr>
        <w:t xml:space="preserve"> następuje przez ich zbycie</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albo ściągnięcie</w:t>
      </w:r>
      <w:r>
        <w:rPr>
          <w:rFonts w:ascii="Times New Roman" w:eastAsia="Calibri" w:hAnsi="Times New Roman" w:cs="Times New Roman"/>
          <w:sz w:val="24"/>
          <w:szCs w:val="24"/>
        </w:rPr>
        <w:t xml:space="preserve">, natomiast </w:t>
      </w:r>
      <w:r w:rsidRPr="003C0635">
        <w:rPr>
          <w:rFonts w:ascii="Times New Roman" w:eastAsia="Calibri" w:hAnsi="Times New Roman" w:cs="Times New Roman"/>
          <w:sz w:val="24"/>
          <w:szCs w:val="24"/>
        </w:rPr>
        <w:t>Likwidacja praw majątkowych upadłego następuje przez ich</w:t>
      </w:r>
      <w:r>
        <w:rPr>
          <w:rFonts w:ascii="Times New Roman" w:eastAsia="Calibri" w:hAnsi="Times New Roman" w:cs="Times New Roman"/>
          <w:sz w:val="24"/>
          <w:szCs w:val="24"/>
        </w:rPr>
        <w:t xml:space="preserve"> </w:t>
      </w:r>
      <w:r w:rsidRPr="003C0635">
        <w:rPr>
          <w:rFonts w:ascii="Times New Roman" w:eastAsia="Calibri" w:hAnsi="Times New Roman" w:cs="Times New Roman"/>
          <w:sz w:val="24"/>
          <w:szCs w:val="24"/>
        </w:rPr>
        <w:t>wykonanie albo zbycie</w:t>
      </w:r>
      <w:r>
        <w:rPr>
          <w:rFonts w:ascii="Times New Roman" w:eastAsia="Calibri" w:hAnsi="Times New Roman" w:cs="Times New Roman"/>
          <w:sz w:val="24"/>
          <w:szCs w:val="24"/>
        </w:rPr>
        <w:t xml:space="preserve"> (art. 332 PU).</w:t>
      </w:r>
    </w:p>
    <w:p w:rsidR="005D5A52" w:rsidRPr="00394B84" w:rsidRDefault="005D5A52" w:rsidP="00394B84">
      <w:pPr>
        <w:spacing w:after="0" w:line="360" w:lineRule="auto"/>
        <w:jc w:val="both"/>
        <w:rPr>
          <w:rFonts w:ascii="Times New Roman" w:eastAsia="Calibri" w:hAnsi="Times New Roman" w:cs="Times New Roman"/>
          <w:sz w:val="24"/>
          <w:szCs w:val="24"/>
        </w:rPr>
      </w:pPr>
    </w:p>
    <w:p w:rsidR="00394B84" w:rsidRPr="00394B84" w:rsidRDefault="00C00C4D" w:rsidP="00394B84">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r w:rsidR="00394B84" w:rsidRPr="00394B84">
        <w:rPr>
          <w:rFonts w:ascii="Times New Roman" w:eastAsia="Calibri" w:hAnsi="Times New Roman" w:cs="Times New Roman"/>
          <w:b/>
          <w:sz w:val="24"/>
          <w:szCs w:val="24"/>
        </w:rPr>
        <w:t xml:space="preserve">. Skutki sprzedaży </w:t>
      </w:r>
      <w:r w:rsidR="002C0F9D">
        <w:rPr>
          <w:rFonts w:ascii="Times New Roman" w:eastAsia="Calibri" w:hAnsi="Times New Roman" w:cs="Times New Roman"/>
          <w:b/>
          <w:sz w:val="24"/>
          <w:szCs w:val="24"/>
        </w:rPr>
        <w:t>składników masy upadłości</w:t>
      </w:r>
      <w:r w:rsidR="00394B84" w:rsidRPr="00394B84">
        <w:rPr>
          <w:rFonts w:ascii="Times New Roman" w:eastAsia="Calibri" w:hAnsi="Times New Roman" w:cs="Times New Roman"/>
          <w:b/>
          <w:sz w:val="24"/>
          <w:szCs w:val="24"/>
        </w:rPr>
        <w:t xml:space="preserve"> w postępowaniu upadłościowym</w:t>
      </w:r>
    </w:p>
    <w:p w:rsidR="00394B84" w:rsidRPr="00394B84" w:rsidRDefault="00394B84" w:rsidP="00394B84">
      <w:pPr>
        <w:spacing w:after="0" w:line="360" w:lineRule="auto"/>
        <w:jc w:val="both"/>
        <w:rPr>
          <w:rFonts w:ascii="Times New Roman" w:eastAsia="Calibri" w:hAnsi="Times New Roman" w:cs="Times New Roman"/>
          <w:b/>
          <w:sz w:val="24"/>
          <w:szCs w:val="24"/>
        </w:rPr>
      </w:pP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b/>
          <w:sz w:val="24"/>
          <w:szCs w:val="24"/>
        </w:rPr>
        <w:tab/>
      </w:r>
      <w:r w:rsidRPr="00394B84">
        <w:rPr>
          <w:rFonts w:ascii="Times New Roman" w:eastAsia="Calibri" w:hAnsi="Times New Roman" w:cs="Times New Roman"/>
          <w:sz w:val="24"/>
          <w:szCs w:val="24"/>
        </w:rPr>
        <w:t>W postępowaniu upadłościowym</w:t>
      </w:r>
      <w:r w:rsidR="002C0F9D">
        <w:rPr>
          <w:rFonts w:ascii="Times New Roman" w:eastAsia="Calibri" w:hAnsi="Times New Roman" w:cs="Times New Roman"/>
          <w:sz w:val="24"/>
          <w:szCs w:val="24"/>
        </w:rPr>
        <w:t xml:space="preserve"> – postrzeganym jako egzekucja generalna mająca doprowadzić do zaspokojenia w jak największym stopniu wierzycieli upadłego,</w:t>
      </w:r>
      <w:r w:rsidRPr="00394B84">
        <w:rPr>
          <w:rFonts w:ascii="Times New Roman" w:eastAsia="Calibri" w:hAnsi="Times New Roman" w:cs="Times New Roman"/>
          <w:sz w:val="24"/>
          <w:szCs w:val="24"/>
        </w:rPr>
        <w:t xml:space="preserve"> </w:t>
      </w:r>
      <w:r w:rsidR="002C0F9D">
        <w:rPr>
          <w:rFonts w:ascii="Times New Roman" w:eastAsia="Calibri" w:hAnsi="Times New Roman" w:cs="Times New Roman"/>
          <w:sz w:val="24"/>
          <w:szCs w:val="24"/>
        </w:rPr>
        <w:t xml:space="preserve">bardzo </w:t>
      </w:r>
      <w:r w:rsidRPr="00394B84">
        <w:rPr>
          <w:rFonts w:ascii="Times New Roman" w:eastAsia="Calibri" w:hAnsi="Times New Roman" w:cs="Times New Roman"/>
          <w:sz w:val="24"/>
          <w:szCs w:val="24"/>
        </w:rPr>
        <w:t>istotne jest szybkie i sprawne przeprowadzenie przez syndyka likwidacji masy upadłości – a więc zasadniczo zbycie składników</w:t>
      </w:r>
      <w:r w:rsidR="002C0F9D">
        <w:rPr>
          <w:rFonts w:ascii="Times New Roman" w:eastAsia="Calibri" w:hAnsi="Times New Roman" w:cs="Times New Roman"/>
          <w:sz w:val="24"/>
          <w:szCs w:val="24"/>
        </w:rPr>
        <w:t xml:space="preserve"> masy, celem uzyskania funduszów masy upadłości, podlegających podziałowi pomiędzy wierzycieli. Konieczne jest zatem wprowadzenie rozwiązań prawnych zachęcających do nabywania składników masy upadłości – zwłaszcza zapewniających im nabycie owych składników bez ewentualnych obciążeń.</w:t>
      </w:r>
    </w:p>
    <w:p w:rsidR="00C63150" w:rsidRDefault="002C0F9D" w:rsidP="00394B8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313 ust. 1 PU</w:t>
      </w:r>
      <w:r w:rsidR="00394B84" w:rsidRPr="00394B84">
        <w:rPr>
          <w:rFonts w:ascii="Times New Roman" w:eastAsia="Calibri" w:hAnsi="Times New Roman" w:cs="Times New Roman"/>
          <w:sz w:val="24"/>
          <w:szCs w:val="24"/>
        </w:rPr>
        <w:t xml:space="preserve">, sprzedaż dokonana w postępowaniu upadłościowym, ma skutki sprzedaży egzekucyjnej. Uwzględnić należy przy tym w szczególności </w:t>
      </w:r>
      <w:r w:rsidRPr="00AF0CF1">
        <w:rPr>
          <w:rFonts w:ascii="Times New Roman" w:eastAsia="Calibri" w:hAnsi="Times New Roman" w:cs="Times New Roman"/>
          <w:sz w:val="24"/>
          <w:szCs w:val="24"/>
        </w:rPr>
        <w:t>art. 879 kodeksu postępowania cywilnego</w:t>
      </w:r>
      <w:r w:rsidR="00394B84" w:rsidRPr="00AF0CF1">
        <w:rPr>
          <w:rFonts w:ascii="Times New Roman" w:eastAsia="Calibri" w:hAnsi="Times New Roman" w:cs="Times New Roman"/>
          <w:sz w:val="24"/>
          <w:szCs w:val="24"/>
        </w:rPr>
        <w:t xml:space="preserve"> w odniesieniu do rzeczy ruchomych i art. 1000 KPC w odniesieniu do nieruchomości</w:t>
      </w:r>
      <w:r w:rsidRPr="00AF0CF1">
        <w:rPr>
          <w:rFonts w:ascii="Times New Roman" w:eastAsia="Calibri" w:hAnsi="Times New Roman" w:cs="Times New Roman"/>
          <w:sz w:val="24"/>
          <w:szCs w:val="24"/>
        </w:rPr>
        <w:t xml:space="preserve">. </w:t>
      </w:r>
      <w:r w:rsidR="00C00C4D" w:rsidRPr="00AF0CF1">
        <w:rPr>
          <w:rFonts w:ascii="Times New Roman" w:eastAsia="Calibri" w:hAnsi="Times New Roman" w:cs="Times New Roman"/>
          <w:sz w:val="24"/>
          <w:szCs w:val="24"/>
        </w:rPr>
        <w:t>W przypadku sprzedaży w postępowaniu upadłościowym wchodzących w skład masy upadłości rzeczy ruchomych stosuje się przede wszystkim art. 879 KPC, zgodnie z którym nabywca rzeczy ruchomej w postępowaniu egzekucyjnym nabywa ją bez żadnych obciążeń</w:t>
      </w:r>
      <w:r w:rsidR="00C00C4D">
        <w:rPr>
          <w:rFonts w:ascii="Times New Roman" w:eastAsia="Calibri" w:hAnsi="Times New Roman" w:cs="Times New Roman"/>
          <w:sz w:val="24"/>
          <w:szCs w:val="24"/>
        </w:rPr>
        <w:t>.</w:t>
      </w:r>
      <w:r w:rsidR="00C00C4D" w:rsidRPr="00C00C4D">
        <w:rPr>
          <w:rFonts w:ascii="Times New Roman" w:eastAsia="Calibri" w:hAnsi="Times New Roman" w:cs="Times New Roman"/>
          <w:sz w:val="24"/>
          <w:szCs w:val="24"/>
        </w:rPr>
        <w:t xml:space="preserve"> </w:t>
      </w:r>
      <w:r w:rsidR="00C00C4D">
        <w:rPr>
          <w:rFonts w:ascii="Times New Roman" w:eastAsia="Calibri" w:hAnsi="Times New Roman" w:cs="Times New Roman"/>
          <w:sz w:val="24"/>
          <w:szCs w:val="24"/>
        </w:rPr>
        <w:t>Do</w:t>
      </w:r>
      <w:r w:rsidR="00C00C4D" w:rsidRPr="00394B84">
        <w:rPr>
          <w:rFonts w:ascii="Times New Roman" w:eastAsia="Calibri" w:hAnsi="Times New Roman" w:cs="Times New Roman"/>
          <w:sz w:val="24"/>
          <w:szCs w:val="24"/>
        </w:rPr>
        <w:t xml:space="preserve"> przypadków zbycia w postępowaniu upadłościowym </w:t>
      </w:r>
      <w:r w:rsidR="00C00C4D">
        <w:rPr>
          <w:rFonts w:ascii="Times New Roman" w:eastAsia="Calibri" w:hAnsi="Times New Roman" w:cs="Times New Roman"/>
          <w:sz w:val="24"/>
          <w:szCs w:val="24"/>
        </w:rPr>
        <w:t xml:space="preserve">praw majątkowych </w:t>
      </w:r>
      <w:r w:rsidR="00C00C4D" w:rsidRPr="00394B84">
        <w:rPr>
          <w:rFonts w:ascii="Times New Roman" w:eastAsia="Calibri" w:hAnsi="Times New Roman" w:cs="Times New Roman"/>
          <w:sz w:val="24"/>
          <w:szCs w:val="24"/>
        </w:rPr>
        <w:t xml:space="preserve">należy odpowiednio stosować regulacje dotyczące skutków sprzedaży ruchomości, a zatem </w:t>
      </w:r>
      <w:r w:rsidR="00AF0CF1">
        <w:rPr>
          <w:rFonts w:ascii="Times New Roman" w:eastAsia="Calibri" w:hAnsi="Times New Roman" w:cs="Times New Roman"/>
          <w:sz w:val="24"/>
          <w:szCs w:val="24"/>
        </w:rPr>
        <w:t>ich</w:t>
      </w:r>
      <w:r w:rsidR="00AF0CF1" w:rsidRPr="00394B84">
        <w:rPr>
          <w:rFonts w:ascii="Times New Roman" w:eastAsia="Calibri" w:hAnsi="Times New Roman" w:cs="Times New Roman"/>
          <w:sz w:val="24"/>
          <w:szCs w:val="24"/>
        </w:rPr>
        <w:t xml:space="preserve"> także </w:t>
      </w:r>
      <w:r w:rsidR="00C00C4D" w:rsidRPr="00394B84">
        <w:rPr>
          <w:rFonts w:ascii="Times New Roman" w:eastAsia="Calibri" w:hAnsi="Times New Roman" w:cs="Times New Roman"/>
          <w:sz w:val="24"/>
          <w:szCs w:val="24"/>
        </w:rPr>
        <w:t>dotyczy przepis art. 879 KPC.</w:t>
      </w:r>
      <w:r w:rsidR="00AF0CF1">
        <w:rPr>
          <w:rFonts w:ascii="Times New Roman" w:eastAsia="Calibri" w:hAnsi="Times New Roman" w:cs="Times New Roman"/>
          <w:sz w:val="24"/>
          <w:szCs w:val="24"/>
        </w:rPr>
        <w:t xml:space="preserve"> Z kolei w przypadku nieruchomości, w myśl art. 1000 KPC  skutkiem jej zbycia w postępowaniu egzekucyjnym – a zatem także upadłościowym – jest wygaśnięcie wszelkich praw i skutków</w:t>
      </w:r>
      <w:r w:rsidR="00AF0CF1" w:rsidRPr="00AF0CF1">
        <w:rPr>
          <w:rFonts w:ascii="Times New Roman" w:eastAsia="Calibri" w:hAnsi="Times New Roman" w:cs="Times New Roman"/>
          <w:sz w:val="24"/>
          <w:szCs w:val="24"/>
        </w:rPr>
        <w:t xml:space="preserve"> ujawnienia praw i roszczeń osobistych ciążące na nieruchomości.</w:t>
      </w:r>
    </w:p>
    <w:p w:rsidR="002C0F9D" w:rsidRDefault="002C0F9D" w:rsidP="00C6315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Przepis art. 313 ust. 1 PU</w:t>
      </w:r>
      <w:r w:rsidR="00394B84" w:rsidRPr="00394B84">
        <w:rPr>
          <w:rFonts w:ascii="Times New Roman" w:eastAsia="Calibri" w:hAnsi="Times New Roman" w:cs="Times New Roman"/>
          <w:sz w:val="24"/>
          <w:szCs w:val="24"/>
        </w:rPr>
        <w:t xml:space="preserve">, stanowiąc podstawę do stosowania dotyczących egzekucji przepisów KPC, wyłącza jednocześnie, jak słusznie podkreśla </w:t>
      </w:r>
      <w:r w:rsidR="00394B84" w:rsidRPr="00394B84">
        <w:rPr>
          <w:rFonts w:ascii="Times New Roman" w:eastAsia="Calibri" w:hAnsi="Times New Roman" w:cs="Times New Roman"/>
          <w:i/>
          <w:sz w:val="24"/>
          <w:szCs w:val="24"/>
        </w:rPr>
        <w:t>S. Gurgul</w:t>
      </w:r>
      <w:r w:rsidR="00394B84" w:rsidRPr="00394B84">
        <w:rPr>
          <w:rFonts w:ascii="Times New Roman" w:eastAsia="Calibri" w:hAnsi="Times New Roman" w:cs="Times New Roman"/>
          <w:sz w:val="24"/>
          <w:szCs w:val="24"/>
        </w:rPr>
        <w:t xml:space="preserve">, zastosowanie w postępowaniu upadłościowym dotyczących sprzedaży przepisów KC. Ponieważ nabycie danej rzeczy (lub prawa) w postępowaniu egzekucyjnym uznawane jest w za nabycie mające charakter pierwotny, uzasadniony jest pogląd, który przedstawia </w:t>
      </w:r>
      <w:r w:rsidR="00394B84" w:rsidRPr="00394B84">
        <w:rPr>
          <w:rFonts w:ascii="Times New Roman" w:eastAsia="Calibri" w:hAnsi="Times New Roman" w:cs="Times New Roman"/>
          <w:i/>
          <w:sz w:val="24"/>
          <w:szCs w:val="24"/>
        </w:rPr>
        <w:t xml:space="preserve">A. </w:t>
      </w:r>
      <w:proofErr w:type="spellStart"/>
      <w:r w:rsidR="00394B84" w:rsidRPr="00394B84">
        <w:rPr>
          <w:rFonts w:ascii="Times New Roman" w:eastAsia="Calibri" w:hAnsi="Times New Roman" w:cs="Times New Roman"/>
          <w:i/>
          <w:sz w:val="24"/>
          <w:szCs w:val="24"/>
        </w:rPr>
        <w:t>Jakubecki</w:t>
      </w:r>
      <w:proofErr w:type="spellEnd"/>
      <w:r w:rsidR="00394B84" w:rsidRPr="00394B84">
        <w:rPr>
          <w:rFonts w:ascii="Times New Roman" w:eastAsia="Calibri" w:hAnsi="Times New Roman" w:cs="Times New Roman"/>
          <w:sz w:val="24"/>
          <w:szCs w:val="24"/>
        </w:rPr>
        <w:t>, iż również w  postępowaniu upadłościowym obowiązuje ogólna reguła, w myśl której nabycie w nim rzeczy bądź praw ma charakter nabycia pierwotnego. Sprzedaż dokonana w postępowaniu upadłościowym zwalnia zatem co do zasady daną rzecz lub prawo z obciążeń – w tym również służących zabezpieczeniu wierzytelności ograniczon</w:t>
      </w:r>
      <w:r>
        <w:rPr>
          <w:rFonts w:ascii="Times New Roman" w:eastAsia="Calibri" w:hAnsi="Times New Roman" w:cs="Times New Roman"/>
          <w:sz w:val="24"/>
          <w:szCs w:val="24"/>
        </w:rPr>
        <w:t xml:space="preserve">ych praw rzeczowych, </w:t>
      </w:r>
      <w:r w:rsidR="00394B84" w:rsidRPr="00394B84">
        <w:rPr>
          <w:rFonts w:ascii="Times New Roman" w:eastAsia="Calibri" w:hAnsi="Times New Roman" w:cs="Times New Roman"/>
          <w:sz w:val="24"/>
          <w:szCs w:val="24"/>
        </w:rPr>
        <w:t xml:space="preserve">zarówno </w:t>
      </w:r>
      <w:r w:rsidR="00394B84" w:rsidRPr="00394B84">
        <w:rPr>
          <w:rFonts w:ascii="Times New Roman" w:eastAsia="Calibri" w:hAnsi="Times New Roman" w:cs="Times New Roman"/>
          <w:sz w:val="24"/>
          <w:szCs w:val="24"/>
        </w:rPr>
        <w:lastRenderedPageBreak/>
        <w:t xml:space="preserve">hipoteki, jak i zastawu, które w wyniku sprzedaży przedmiotu zabezpieczenia w postępowaniu upadłościowym wygasają. </w:t>
      </w:r>
    </w:p>
    <w:p w:rsidR="00394B84" w:rsidRPr="00394B84" w:rsidRDefault="00394B84" w:rsidP="002C0F9D">
      <w:pPr>
        <w:spacing w:after="0" w:line="360" w:lineRule="auto"/>
        <w:ind w:firstLine="708"/>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 xml:space="preserve">Trzeba jednak zwrócić uwagę, iż w przypadku sprzedaży w postępowaniu upadłościowym nieruchomości upadłego uwzględnić należy nie tylko odpowiednie, dotyczące skutków sprzedaży nieruchomości w postępowaniu egzekucyjnym przepisy KPC, ale również regulujące tę kwestię w pewnym stopniu odmiennie art. 313 ust. 2 - 4 PU. </w:t>
      </w:r>
    </w:p>
    <w:p w:rsidR="00394B84" w:rsidRPr="00394B84" w:rsidRDefault="00C63150" w:rsidP="00C6315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 mocy art. 313 ust. 2 PU</w:t>
      </w:r>
      <w:r w:rsidR="00394B84" w:rsidRPr="00394B84">
        <w:rPr>
          <w:rFonts w:ascii="Times New Roman" w:eastAsia="Calibri" w:hAnsi="Times New Roman" w:cs="Times New Roman"/>
          <w:sz w:val="24"/>
          <w:szCs w:val="24"/>
        </w:rPr>
        <w:t xml:space="preserve"> , sprzedaż nieruchomości w postępowaniu upadłościowym powoduje wygaśnięcie praw oraz praw i roszczeń osobistych ujawnionych przez wpis do księgi wieczystej</w:t>
      </w:r>
      <w:r w:rsidR="005C743F">
        <w:rPr>
          <w:rFonts w:ascii="Times New Roman" w:eastAsia="Calibri" w:hAnsi="Times New Roman" w:cs="Times New Roman"/>
          <w:sz w:val="24"/>
          <w:szCs w:val="24"/>
        </w:rPr>
        <w:t xml:space="preserve"> </w:t>
      </w:r>
      <w:r w:rsidR="00394B84" w:rsidRPr="00394B84">
        <w:rPr>
          <w:rFonts w:ascii="Times New Roman" w:eastAsia="Calibri" w:hAnsi="Times New Roman" w:cs="Times New Roman"/>
          <w:sz w:val="24"/>
          <w:szCs w:val="24"/>
        </w:rPr>
        <w:t>lub nieujawnionych w ten sposób, lecz zgłoszonych sędziemu-komisarzowi w terminie określonym w art. 51 ust. 1 pkt. 5 PU</w:t>
      </w:r>
      <w:r>
        <w:rPr>
          <w:rFonts w:ascii="Times New Roman" w:eastAsia="Calibri" w:hAnsi="Times New Roman" w:cs="Times New Roman"/>
          <w:sz w:val="24"/>
          <w:szCs w:val="24"/>
        </w:rPr>
        <w:t xml:space="preserve"> (czyli </w:t>
      </w:r>
      <w:r w:rsidRPr="00C63150">
        <w:rPr>
          <w:rFonts w:ascii="Times New Roman" w:eastAsia="Calibri" w:hAnsi="Times New Roman" w:cs="Times New Roman"/>
          <w:sz w:val="24"/>
          <w:szCs w:val="24"/>
        </w:rPr>
        <w:t>w terminie trzydziestu dni</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od dnia obwieszczenia postanowienia o ogłoszeniu upadłości</w:t>
      </w:r>
      <w:r>
        <w:rPr>
          <w:rFonts w:ascii="Times New Roman" w:eastAsia="Calibri" w:hAnsi="Times New Roman" w:cs="Times New Roman"/>
          <w:sz w:val="24"/>
          <w:szCs w:val="24"/>
        </w:rPr>
        <w:t>)</w:t>
      </w:r>
      <w:r w:rsidR="00394B84" w:rsidRPr="00394B84">
        <w:rPr>
          <w:rFonts w:ascii="Times New Roman" w:eastAsia="Calibri" w:hAnsi="Times New Roman" w:cs="Times New Roman"/>
          <w:sz w:val="24"/>
          <w:szCs w:val="24"/>
        </w:rPr>
        <w:t>. W miejsce prawa, które wygasło, uprawniony nabywa prawo do zaspokojenia jego wartości z ceny uzyskanej ze sprzedaży obciążonej nieruchomości. Skutkiem sprzedaży obciążonej hipoteką nieruchomości upadłego jest zatem wygaśnięcie tej hipoteki i nabycie przez wierzyciela hipotecznego prawa do zaspokojenia zabezpieczonej nią wierzytelności z ceny uzyskanej ze sprzedaży obciążonej nieruchomości. Pomimo wygaśnięcia zabezpieczającej wierzytelność hipoteki, wskutek sprzedaży w postępowaniu upadłościowym obciążonej nią nieruchomości upadłego, wierzytelność taka zachowuje zatem swoje wynikające z istnienia tego zabezpieczenia uprzywilejowanie w stosunku do pozostałych wierzytelności zaspokajanych w ram</w:t>
      </w:r>
      <w:r>
        <w:rPr>
          <w:rFonts w:ascii="Times New Roman" w:eastAsia="Calibri" w:hAnsi="Times New Roman" w:cs="Times New Roman"/>
          <w:sz w:val="24"/>
          <w:szCs w:val="24"/>
        </w:rPr>
        <w:t>ach postępowania upadłościowego</w:t>
      </w:r>
      <w:r w:rsidR="00394B84" w:rsidRPr="00394B84">
        <w:rPr>
          <w:rFonts w:ascii="Times New Roman" w:eastAsia="Calibri" w:hAnsi="Times New Roman" w:cs="Times New Roman"/>
          <w:sz w:val="24"/>
          <w:szCs w:val="24"/>
        </w:rPr>
        <w:t>.</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Wskazany skutek sprzedaży obciążonej nieruchomości, zgodn</w:t>
      </w:r>
      <w:r w:rsidR="00C63150">
        <w:rPr>
          <w:rFonts w:ascii="Times New Roman" w:eastAsia="Calibri" w:hAnsi="Times New Roman" w:cs="Times New Roman"/>
          <w:sz w:val="24"/>
          <w:szCs w:val="24"/>
        </w:rPr>
        <w:t>ie z treścią art. 313 ust. 2 PU</w:t>
      </w:r>
      <w:r w:rsidRPr="00394B84">
        <w:rPr>
          <w:rFonts w:ascii="Times New Roman" w:eastAsia="Calibri" w:hAnsi="Times New Roman" w:cs="Times New Roman"/>
          <w:sz w:val="24"/>
          <w:szCs w:val="24"/>
        </w:rPr>
        <w:t>, powstaje już z chwilą zawarcia umowy sprzedaży. Prawa obciążające sprzedaną w postępowaniu upadł</w:t>
      </w:r>
      <w:r w:rsidR="00C63150">
        <w:rPr>
          <w:rFonts w:ascii="Times New Roman" w:eastAsia="Calibri" w:hAnsi="Times New Roman" w:cs="Times New Roman"/>
          <w:sz w:val="24"/>
          <w:szCs w:val="24"/>
        </w:rPr>
        <w:t xml:space="preserve">ościowym nieruchomość upadłego </w:t>
      </w:r>
      <w:r w:rsidRPr="00394B84">
        <w:rPr>
          <w:rFonts w:ascii="Times New Roman" w:eastAsia="Calibri" w:hAnsi="Times New Roman" w:cs="Times New Roman"/>
          <w:sz w:val="24"/>
          <w:szCs w:val="24"/>
        </w:rPr>
        <w:t xml:space="preserve">wygasają zatem na podstawie samej umowy sprzedaży, z chwilą jej zawarcia. Jak słusznie zauważa </w:t>
      </w:r>
      <w:r w:rsidRPr="00394B84">
        <w:rPr>
          <w:rFonts w:ascii="Times New Roman" w:eastAsia="Calibri" w:hAnsi="Times New Roman" w:cs="Times New Roman"/>
          <w:i/>
          <w:sz w:val="24"/>
          <w:szCs w:val="24"/>
        </w:rPr>
        <w:t>S. Gurgul</w:t>
      </w:r>
      <w:r w:rsidRPr="00394B84">
        <w:rPr>
          <w:rFonts w:ascii="Times New Roman" w:eastAsia="Calibri" w:hAnsi="Times New Roman" w:cs="Times New Roman"/>
          <w:sz w:val="24"/>
          <w:szCs w:val="24"/>
        </w:rPr>
        <w:t>, wygasają one przy tym bez względu na tryb sprzedaży obciążonej nieruchomości przez syndyka, tzn. niezależnie od tego, czy sprzedaż dokonana została w sposób</w:t>
      </w:r>
      <w:r w:rsidR="00C63150">
        <w:rPr>
          <w:rFonts w:ascii="Times New Roman" w:eastAsia="Calibri" w:hAnsi="Times New Roman" w:cs="Times New Roman"/>
          <w:sz w:val="24"/>
          <w:szCs w:val="24"/>
        </w:rPr>
        <w:t xml:space="preserve"> przewidziany w art. 320 PU</w:t>
      </w:r>
      <w:r w:rsidRPr="00394B84">
        <w:rPr>
          <w:rFonts w:ascii="Times New Roman" w:eastAsia="Calibri" w:hAnsi="Times New Roman" w:cs="Times New Roman"/>
          <w:sz w:val="24"/>
          <w:szCs w:val="24"/>
        </w:rPr>
        <w:t xml:space="preserve">, czyli w drodze przetargu, czy też nieruchomość została zbyta „z wolnej ręki”. Skutek ten następuje również niezależnie od tego, czy obciążona nieruchomość sprzedana zostaje przez syndyka odrębnie, czy też stanowi jedynie składnik zbywanego przez syndyka w całości przedsiębiorstwa upadłego (ewentualnie jego zorganizowanej części). Warto przy tym </w:t>
      </w:r>
      <w:r w:rsidR="00C63150">
        <w:rPr>
          <w:rFonts w:ascii="Times New Roman" w:eastAsia="Calibri" w:hAnsi="Times New Roman" w:cs="Times New Roman"/>
          <w:sz w:val="24"/>
          <w:szCs w:val="24"/>
        </w:rPr>
        <w:t>przywołać tytułem przykładu postanowienie</w:t>
      </w:r>
      <w:r w:rsidRPr="00394B84">
        <w:rPr>
          <w:rFonts w:ascii="Times New Roman" w:eastAsia="Calibri" w:hAnsi="Times New Roman" w:cs="Times New Roman"/>
          <w:sz w:val="24"/>
          <w:szCs w:val="24"/>
        </w:rPr>
        <w:t xml:space="preserve"> SN z dnia 7 maja 2008 r., zgodnie z którym w sytuacji, gdy nieruchomość obciążona hipoteką jest zbywana jako składnik przedsiębiorstwa upadłego, podstawą do wykreślenia takiej hipoteki jest umowa sprzedaży tego przedsiębiorstwa  w toku postępowania upadłościowego. </w:t>
      </w:r>
    </w:p>
    <w:p w:rsidR="00C63150"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lastRenderedPageBreak/>
        <w:tab/>
        <w:t>Wobec wygaśnięcia praw obciążających nieruchomość upadłego, podlegają  one  wykreśleniu z księgi wieczystej. O ile jedna</w:t>
      </w:r>
      <w:r w:rsidR="00C63150">
        <w:rPr>
          <w:rFonts w:ascii="Times New Roman" w:eastAsia="Calibri" w:hAnsi="Times New Roman" w:cs="Times New Roman"/>
          <w:sz w:val="24"/>
          <w:szCs w:val="24"/>
        </w:rPr>
        <w:t>k, zgodnie z art. 313 ust. 2 PU</w:t>
      </w:r>
      <w:r w:rsidRPr="00394B84">
        <w:rPr>
          <w:rFonts w:ascii="Times New Roman" w:eastAsia="Calibri" w:hAnsi="Times New Roman" w:cs="Times New Roman"/>
          <w:sz w:val="24"/>
          <w:szCs w:val="24"/>
        </w:rPr>
        <w:t>, podstawą do wykreślenia innych praw, które wygasły na skutek sprzedaży obciążonej nieruchomości w postępowaniu upadłościowym, jest prawomocny plan podziału uzyskanej z tej sprzedaży sumy, to podstawą do wykreślenia z księgi wieczystej hipoteki jest już umowa sprzedaży obciążonej nieruchomości. Zwrócić należy przy tym uwagę na fakt, że w przypadku sprzedaży nieruchomości upadłego obciążonej hipoteką (także jako składnika przedsiębiorstwa upadłego) wykreślenie jej wpisu z księgi wieczystej ma charakter jedynie deklaratoryjny. Hipoteka ta wygasa bowiem z mocy prawa, już z chwilą zawarcia umowy sprzedaży obciążonej ni</w:t>
      </w:r>
      <w:r w:rsidR="00C63150">
        <w:rPr>
          <w:rFonts w:ascii="Times New Roman" w:eastAsia="Calibri" w:hAnsi="Times New Roman" w:cs="Times New Roman"/>
          <w:sz w:val="24"/>
          <w:szCs w:val="24"/>
        </w:rPr>
        <w:t>eruchomości (art. 313 ust. 2 PU</w:t>
      </w:r>
      <w:r w:rsidRPr="00394B84">
        <w:rPr>
          <w:rFonts w:ascii="Times New Roman" w:eastAsia="Calibri" w:hAnsi="Times New Roman" w:cs="Times New Roman"/>
          <w:sz w:val="24"/>
          <w:szCs w:val="24"/>
        </w:rPr>
        <w:t>). Powstaje zatem rozbieżność pomiędzy treścią księgi wieczystej a rzeczywistym stanem prawnym, której usunięcie wymaga złożenia wniosku o wykreślenie z księgi wieczystej hipoteki ciążącej na sprzedanej w postępowaniu upadłościowym nieruchomości upadłego i wykreślenia wpisu przez sąd. Wniosek taki – załączając stanowiącą podstawę wykreślenia hipoteki umowę sprzedaży obciążonej nieruchomości - powinien złożyć jej nabywca, jako osoba posiadająca interes prawny w wykreśleniu hipoteki (bądź hipotek) z księgi wieczystej nabytej w postępowania upadłościowym nieruchomości.</w:t>
      </w:r>
    </w:p>
    <w:p w:rsidR="00394B84" w:rsidRDefault="00394B84" w:rsidP="00C63150">
      <w:pPr>
        <w:spacing w:after="0" w:line="360" w:lineRule="auto"/>
        <w:ind w:firstLine="708"/>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 xml:space="preserve">Należy zauważyć, że w przypadku pozostałych ujawnionych w księdze wieczystej praw i roszczeń obciążających sprzedaną w postępowaniu upadłościowym nieruchomość, podstawą do ich wykreślenia jest według </w:t>
      </w:r>
      <w:r w:rsidR="00C63150">
        <w:rPr>
          <w:rFonts w:ascii="Times New Roman" w:eastAsia="Calibri" w:hAnsi="Times New Roman" w:cs="Times New Roman"/>
          <w:sz w:val="24"/>
          <w:szCs w:val="24"/>
        </w:rPr>
        <w:t>brzmienia art. 313 ust. 2 PU</w:t>
      </w:r>
      <w:r w:rsidRPr="00394B84">
        <w:rPr>
          <w:rFonts w:ascii="Times New Roman" w:eastAsia="Calibri" w:hAnsi="Times New Roman" w:cs="Times New Roman"/>
          <w:sz w:val="24"/>
          <w:szCs w:val="24"/>
        </w:rPr>
        <w:t>, prawomocny plan podziału sumy uzyskanej ze sprzedaży nieruchomości, mimo że prawa te, tak jak hipoteka wygasają już z chwilą zawarcia umowy sprzedaży</w:t>
      </w:r>
      <w:r w:rsidR="00C63150">
        <w:rPr>
          <w:rFonts w:ascii="Times New Roman" w:eastAsia="Calibri" w:hAnsi="Times New Roman" w:cs="Times New Roman"/>
          <w:sz w:val="24"/>
          <w:szCs w:val="24"/>
        </w:rPr>
        <w:t xml:space="preserve">. W ich przypadku zatem </w:t>
      </w:r>
      <w:r w:rsidRPr="00394B84">
        <w:rPr>
          <w:rFonts w:ascii="Times New Roman" w:eastAsia="Calibri" w:hAnsi="Times New Roman" w:cs="Times New Roman"/>
          <w:sz w:val="24"/>
          <w:szCs w:val="24"/>
        </w:rPr>
        <w:t xml:space="preserve">możliwa jest długotrwała rozbieżność pomiędzy treścią księgi wieczystej a rzeczywistym stanem prawnym, co w kontekście bezpieczeństwa obrotu prawnego ocenić należy negatywnie.  </w:t>
      </w:r>
      <w:r w:rsidRPr="00394B84">
        <w:rPr>
          <w:rFonts w:ascii="Times New Roman" w:eastAsia="Calibri" w:hAnsi="Times New Roman" w:cs="Times New Roman"/>
          <w:i/>
          <w:sz w:val="24"/>
          <w:szCs w:val="24"/>
        </w:rPr>
        <w:t xml:space="preserve">De </w:t>
      </w:r>
      <w:proofErr w:type="spellStart"/>
      <w:r w:rsidRPr="00394B84">
        <w:rPr>
          <w:rFonts w:ascii="Times New Roman" w:eastAsia="Calibri" w:hAnsi="Times New Roman" w:cs="Times New Roman"/>
          <w:i/>
          <w:sz w:val="24"/>
          <w:szCs w:val="24"/>
        </w:rPr>
        <w:t>lege</w:t>
      </w:r>
      <w:proofErr w:type="spellEnd"/>
      <w:r w:rsidRPr="00394B84">
        <w:rPr>
          <w:rFonts w:ascii="Times New Roman" w:eastAsia="Calibri" w:hAnsi="Times New Roman" w:cs="Times New Roman"/>
          <w:i/>
          <w:sz w:val="24"/>
          <w:szCs w:val="24"/>
        </w:rPr>
        <w:t xml:space="preserve"> </w:t>
      </w:r>
      <w:proofErr w:type="spellStart"/>
      <w:r w:rsidRPr="00394B84">
        <w:rPr>
          <w:rFonts w:ascii="Times New Roman" w:eastAsia="Calibri" w:hAnsi="Times New Roman" w:cs="Times New Roman"/>
          <w:i/>
          <w:sz w:val="24"/>
          <w:szCs w:val="24"/>
        </w:rPr>
        <w:t>ferenda</w:t>
      </w:r>
      <w:proofErr w:type="spellEnd"/>
      <w:r w:rsidRPr="00394B84">
        <w:rPr>
          <w:rFonts w:ascii="Times New Roman" w:eastAsia="Calibri" w:hAnsi="Times New Roman" w:cs="Times New Roman"/>
          <w:i/>
          <w:sz w:val="24"/>
          <w:szCs w:val="24"/>
        </w:rPr>
        <w:t xml:space="preserve"> </w:t>
      </w:r>
      <w:r w:rsidRPr="00394B84">
        <w:rPr>
          <w:rFonts w:ascii="Times New Roman" w:eastAsia="Calibri" w:hAnsi="Times New Roman" w:cs="Times New Roman"/>
          <w:sz w:val="24"/>
          <w:szCs w:val="24"/>
        </w:rPr>
        <w:t>warta rozważenia byłaby</w:t>
      </w:r>
      <w:r w:rsidR="00C63150">
        <w:rPr>
          <w:rFonts w:ascii="Times New Roman" w:eastAsia="Calibri" w:hAnsi="Times New Roman" w:cs="Times New Roman"/>
          <w:sz w:val="24"/>
          <w:szCs w:val="24"/>
        </w:rPr>
        <w:t xml:space="preserve"> zmiana brzmienia 313 ust. 2 PU</w:t>
      </w:r>
      <w:r w:rsidRPr="00394B84">
        <w:rPr>
          <w:rFonts w:ascii="Times New Roman" w:eastAsia="Calibri" w:hAnsi="Times New Roman" w:cs="Times New Roman"/>
          <w:sz w:val="24"/>
          <w:szCs w:val="24"/>
        </w:rPr>
        <w:t>, umożliwiająca wykreślenie takich praw i roszczeń w oparciu o samą umowę sprzedaży.</w:t>
      </w:r>
    </w:p>
    <w:p w:rsidR="00C63150" w:rsidRDefault="00C63150" w:rsidP="00C6315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Zgodnie z art. 313 ust. 3 PU p</w:t>
      </w:r>
      <w:r w:rsidRPr="00C63150">
        <w:rPr>
          <w:rFonts w:ascii="Times New Roman" w:eastAsia="Calibri" w:hAnsi="Times New Roman" w:cs="Times New Roman"/>
          <w:sz w:val="24"/>
          <w:szCs w:val="24"/>
        </w:rPr>
        <w:t>ozostają</w:t>
      </w:r>
      <w:r>
        <w:rPr>
          <w:rFonts w:ascii="Times New Roman" w:eastAsia="Calibri" w:hAnsi="Times New Roman" w:cs="Times New Roman"/>
          <w:sz w:val="24"/>
          <w:szCs w:val="24"/>
        </w:rPr>
        <w:t xml:space="preserve"> natomiast </w:t>
      </w:r>
      <w:r w:rsidRPr="00C63150">
        <w:rPr>
          <w:rFonts w:ascii="Times New Roman" w:eastAsia="Calibri" w:hAnsi="Times New Roman" w:cs="Times New Roman"/>
          <w:sz w:val="24"/>
          <w:szCs w:val="24"/>
        </w:rPr>
        <w:t xml:space="preserve"> w mocy bez potrącania ich wartości z ceny nabycia służebność</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drogi koniecznej, służebność przesyłu oraz służebność ustanowiona w związku</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z przekroczeniem granicy przy wznoszeniu budowli lub innego urządzenia.</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Użytkowanie oraz prawa dożywotnika pozostają w mocy, jeżeli przysługuje im</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pierwszeństwo przed wszystkimi hipotekami lub jeżeli nieruchomość nie jest</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hipotekami obciążona albo jeżeli wartość użytkowania i praw dożywotnika</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znajduje pełne pokrycie w cenie nabycia. Jednakże w tym ostatnim wypadku</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wartość tych praw będzie zaliczona na cenę nabycia.</w:t>
      </w:r>
      <w:r>
        <w:rPr>
          <w:rFonts w:ascii="Times New Roman" w:eastAsia="Calibri" w:hAnsi="Times New Roman" w:cs="Times New Roman"/>
          <w:sz w:val="24"/>
          <w:szCs w:val="24"/>
        </w:rPr>
        <w:t xml:space="preserve"> Ponadto n</w:t>
      </w:r>
      <w:r w:rsidRPr="00C63150">
        <w:rPr>
          <w:rFonts w:ascii="Times New Roman" w:eastAsia="Calibri" w:hAnsi="Times New Roman" w:cs="Times New Roman"/>
          <w:sz w:val="24"/>
          <w:szCs w:val="24"/>
        </w:rPr>
        <w:t>a wniosek właściciela nieruchomości władnącej, zgłoszony najpóźniej</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 xml:space="preserve">w </w:t>
      </w:r>
      <w:r w:rsidRPr="00C63150">
        <w:rPr>
          <w:rFonts w:ascii="Times New Roman" w:eastAsia="Calibri" w:hAnsi="Times New Roman" w:cs="Times New Roman"/>
          <w:sz w:val="24"/>
          <w:szCs w:val="24"/>
        </w:rPr>
        <w:lastRenderedPageBreak/>
        <w:t>zarzutach do planu podziału sumy uzyskanej ze sprzedaży nieruchomości</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obciążonej, sędzia-komisarz może postanowić, że służebność gruntowa, która nie</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znajduje pełnego pokrycia w cenie nabycia, zostaje utrzymana w mocy, jeżeli jest</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dla nieruchomości władnącej konieczna, a nie obniża w sposób istotny wartości</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nieruchomości obciążonej. Na postanowienie sędziego-komisarza przysługuje</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zażalenie. Jeżeli wniosek o wyłączenie zgłoszony został w zarzutach, podlega</w:t>
      </w:r>
      <w:r>
        <w:rPr>
          <w:rFonts w:ascii="Times New Roman" w:eastAsia="Calibri" w:hAnsi="Times New Roman" w:cs="Times New Roman"/>
          <w:sz w:val="24"/>
          <w:szCs w:val="24"/>
        </w:rPr>
        <w:t xml:space="preserve"> </w:t>
      </w:r>
      <w:r w:rsidRPr="00C63150">
        <w:rPr>
          <w:rFonts w:ascii="Times New Roman" w:eastAsia="Calibri" w:hAnsi="Times New Roman" w:cs="Times New Roman"/>
          <w:sz w:val="24"/>
          <w:szCs w:val="24"/>
        </w:rPr>
        <w:t>rozpoznaniu razem z zarzutami</w:t>
      </w:r>
      <w:r>
        <w:rPr>
          <w:rFonts w:ascii="Times New Roman" w:eastAsia="Calibri" w:hAnsi="Times New Roman" w:cs="Times New Roman"/>
          <w:sz w:val="24"/>
          <w:szCs w:val="24"/>
        </w:rPr>
        <w:t xml:space="preserve"> (art. 313 ust. 4 PU).</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r>
      <w:r w:rsidR="00C00C4D">
        <w:rPr>
          <w:rFonts w:ascii="Times New Roman" w:eastAsia="Calibri" w:hAnsi="Times New Roman" w:cs="Times New Roman"/>
          <w:sz w:val="24"/>
          <w:szCs w:val="24"/>
        </w:rPr>
        <w:t>Zauważyć należy, że s</w:t>
      </w:r>
      <w:r w:rsidRPr="00394B84">
        <w:rPr>
          <w:rFonts w:ascii="Times New Roman" w:eastAsia="Calibri" w:hAnsi="Times New Roman" w:cs="Times New Roman"/>
          <w:sz w:val="24"/>
          <w:szCs w:val="24"/>
        </w:rPr>
        <w:t>zczególne</w:t>
      </w:r>
      <w:r w:rsidR="00C00C4D">
        <w:rPr>
          <w:rFonts w:ascii="Times New Roman" w:eastAsia="Calibri" w:hAnsi="Times New Roman" w:cs="Times New Roman"/>
          <w:sz w:val="24"/>
          <w:szCs w:val="24"/>
        </w:rPr>
        <w:t xml:space="preserve"> regulacje art. 312 ust. 2-4 PU</w:t>
      </w:r>
      <w:r w:rsidRPr="00394B84">
        <w:rPr>
          <w:rFonts w:ascii="Times New Roman" w:eastAsia="Calibri" w:hAnsi="Times New Roman" w:cs="Times New Roman"/>
          <w:sz w:val="24"/>
          <w:szCs w:val="24"/>
        </w:rPr>
        <w:t xml:space="preserve"> doty</w:t>
      </w:r>
      <w:r w:rsidR="00C00C4D">
        <w:rPr>
          <w:rFonts w:ascii="Times New Roman" w:eastAsia="Calibri" w:hAnsi="Times New Roman" w:cs="Times New Roman"/>
          <w:sz w:val="24"/>
          <w:szCs w:val="24"/>
        </w:rPr>
        <w:t xml:space="preserve">czą </w:t>
      </w:r>
      <w:r w:rsidRPr="00394B84">
        <w:rPr>
          <w:rFonts w:ascii="Times New Roman" w:eastAsia="Calibri" w:hAnsi="Times New Roman" w:cs="Times New Roman"/>
          <w:sz w:val="24"/>
          <w:szCs w:val="24"/>
        </w:rPr>
        <w:t>jedynie przypadków sprzedaży nieruchomości upadłego i składników masy wymienionych w jego ust. 5. W razie sprzedaży składników masy upadłości, które mogą być przedmiotem zastawu (w tym zastawu rejestrowego) – a zatem rzeczy ruchomych i praw zbywalnych, w oparciu o ogól</w:t>
      </w:r>
      <w:r w:rsidR="00C00C4D">
        <w:rPr>
          <w:rFonts w:ascii="Times New Roman" w:eastAsia="Calibri" w:hAnsi="Times New Roman" w:cs="Times New Roman"/>
          <w:sz w:val="24"/>
          <w:szCs w:val="24"/>
        </w:rPr>
        <w:t>ną regulację art. 313 ust. 1 PU</w:t>
      </w:r>
      <w:r w:rsidRPr="00394B84">
        <w:rPr>
          <w:rFonts w:ascii="Times New Roman" w:eastAsia="Calibri" w:hAnsi="Times New Roman" w:cs="Times New Roman"/>
          <w:sz w:val="24"/>
          <w:szCs w:val="24"/>
        </w:rPr>
        <w:t xml:space="preserve"> należy, jak słusznie wskazuje S. Gurgul, stosować „w pełni i wprost” dotyczące egzekucji przepisy KPC.</w:t>
      </w:r>
      <w:r w:rsidR="00C00C4D">
        <w:rPr>
          <w:rFonts w:ascii="Times New Roman" w:eastAsia="Calibri" w:hAnsi="Times New Roman" w:cs="Times New Roman"/>
          <w:sz w:val="24"/>
          <w:szCs w:val="24"/>
        </w:rPr>
        <w:t xml:space="preserve"> </w:t>
      </w:r>
      <w:r w:rsidRPr="00394B84">
        <w:rPr>
          <w:rFonts w:ascii="Times New Roman" w:eastAsia="Calibri" w:hAnsi="Times New Roman" w:cs="Times New Roman"/>
          <w:sz w:val="24"/>
          <w:szCs w:val="24"/>
        </w:rPr>
        <w:t>Skutkiem dokonanej w postępowaniu upadłościowym sprzedaży rzeczy ruchomej obciążonej zastawem jest zatem jego wygaśnięcie. W rezultacie zabezpieczona zastawem wierzytelność z chwilą sprzedaży obciążonego przedmiotu w postępowaniu upadłościowym traci to zabezpieczenie. Dotyczy to również przypadków zbycia w postępowaniu upadłościowym obciążonych zastawem (w tym zastawem rejestrowym) praw majątkowych, do których należy odpowiednio stosować regulacje dotyczące skutków sprzedaży ruchomości</w:t>
      </w:r>
      <w:r w:rsidR="005C743F">
        <w:rPr>
          <w:rFonts w:ascii="Times New Roman" w:eastAsia="Calibri" w:hAnsi="Times New Roman" w:cs="Times New Roman"/>
          <w:sz w:val="24"/>
          <w:szCs w:val="24"/>
        </w:rPr>
        <w:t>,</w:t>
      </w:r>
      <w:r w:rsidRPr="00394B84">
        <w:rPr>
          <w:rFonts w:ascii="Times New Roman" w:eastAsia="Calibri" w:hAnsi="Times New Roman" w:cs="Times New Roman"/>
          <w:sz w:val="24"/>
          <w:szCs w:val="24"/>
        </w:rPr>
        <w:t xml:space="preserve"> a zatem dotyczy jej także przepis art. 879 KPC.</w:t>
      </w:r>
      <w:r w:rsidR="00C00C4D">
        <w:rPr>
          <w:rFonts w:ascii="Times New Roman" w:eastAsia="Calibri" w:hAnsi="Times New Roman" w:cs="Times New Roman"/>
          <w:sz w:val="24"/>
          <w:szCs w:val="24"/>
        </w:rPr>
        <w:t xml:space="preserve"> </w:t>
      </w:r>
      <w:r w:rsidRPr="00394B84">
        <w:rPr>
          <w:rFonts w:ascii="Times New Roman" w:eastAsia="Calibri" w:hAnsi="Times New Roman" w:cs="Times New Roman"/>
          <w:sz w:val="24"/>
          <w:szCs w:val="24"/>
        </w:rPr>
        <w:t xml:space="preserve">Tak, jak w przypadku sprzedaży nieruchomości upadłego obciążonej hipoteką, suma uzyskana ze sprzedaży rzeczy ruchomej (lub prawa zbywalnego) obciążonej zastawem nie wchodzi w skład ogólnych funduszów masy upadłości, lecz służy zaspokojeniu zabezpieczonej zastawem wierzytelności. W miejsce wygasłego prawa zastawu, zastawnik uzyskuje zatem prawo do zaspokojenia się z ceny uzyskanej ze sprzedaży obciążonej rzeczy (bądź prawa), na zasadach prawa odrębności. Pomimo wygaśnięcia zastawu, wskutek sprzedaży w postępowaniu upadłościowym obciążonego składnika masy upadłości, pierwotnie zabezpieczona nim wierzytelność zachowuje więc nadal swoją uprzywilejowaną pozycję w stosunku do pozostałych wierzytelności zaspokajanych w ramach postępowania upadłościowego – tak jak wierzytelność hipoteczna.  </w:t>
      </w: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r>
    </w:p>
    <w:p w:rsidR="00394B84" w:rsidRPr="00394B84" w:rsidRDefault="00C00C4D" w:rsidP="00C00C4D">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  Regulacje PU</w:t>
      </w:r>
      <w:r w:rsidR="00394B84" w:rsidRPr="00394B84">
        <w:rPr>
          <w:rFonts w:ascii="Times New Roman" w:eastAsia="Calibri" w:hAnsi="Times New Roman" w:cs="Times New Roman"/>
          <w:b/>
          <w:sz w:val="24"/>
          <w:szCs w:val="24"/>
        </w:rPr>
        <w:t xml:space="preserve"> dopuszczające szczególny tryb zaspokojenia zastawnika rejestrowego </w:t>
      </w:r>
    </w:p>
    <w:p w:rsidR="00394B84" w:rsidRPr="00394B84" w:rsidRDefault="00394B84" w:rsidP="00394B84">
      <w:pPr>
        <w:spacing w:after="0" w:line="360" w:lineRule="auto"/>
        <w:ind w:left="709" w:hanging="709"/>
        <w:jc w:val="both"/>
        <w:rPr>
          <w:rFonts w:ascii="Times New Roman" w:eastAsia="Calibri" w:hAnsi="Times New Roman" w:cs="Times New Roman"/>
          <w:b/>
          <w:sz w:val="24"/>
          <w:szCs w:val="24"/>
        </w:rPr>
      </w:pPr>
    </w:p>
    <w:p w:rsidR="00394B84" w:rsidRPr="00394B8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r>
      <w:r w:rsidR="00C00C4D">
        <w:rPr>
          <w:rFonts w:ascii="Times New Roman" w:eastAsia="Calibri" w:hAnsi="Times New Roman" w:cs="Times New Roman"/>
          <w:sz w:val="24"/>
          <w:szCs w:val="24"/>
        </w:rPr>
        <w:t>L</w:t>
      </w:r>
      <w:r w:rsidRPr="00394B84">
        <w:rPr>
          <w:rFonts w:ascii="Times New Roman" w:eastAsia="Calibri" w:hAnsi="Times New Roman" w:cs="Times New Roman"/>
          <w:sz w:val="24"/>
          <w:szCs w:val="24"/>
        </w:rPr>
        <w:t xml:space="preserve">ikwidacja masy upadłości w postępowaniu upadłościowym polega co do zasady na sprzedaży jej składników przez syndyka, w </w:t>
      </w:r>
      <w:r w:rsidR="00C00C4D">
        <w:rPr>
          <w:rFonts w:ascii="Times New Roman" w:eastAsia="Calibri" w:hAnsi="Times New Roman" w:cs="Times New Roman"/>
          <w:sz w:val="24"/>
          <w:szCs w:val="24"/>
        </w:rPr>
        <w:t>trybie określonym przepisami PU</w:t>
      </w:r>
      <w:r w:rsidRPr="00394B84">
        <w:rPr>
          <w:rFonts w:ascii="Times New Roman" w:eastAsia="Calibri" w:hAnsi="Times New Roman" w:cs="Times New Roman"/>
          <w:sz w:val="24"/>
          <w:szCs w:val="24"/>
        </w:rPr>
        <w:t xml:space="preserve">. Taki sposób likwidacji obejmuje również co do zasady wchodzące w skład masy upadłości przedmioty </w:t>
      </w:r>
      <w:r w:rsidRPr="00394B84">
        <w:rPr>
          <w:rFonts w:ascii="Times New Roman" w:eastAsia="Calibri" w:hAnsi="Times New Roman" w:cs="Times New Roman"/>
          <w:sz w:val="24"/>
          <w:szCs w:val="24"/>
        </w:rPr>
        <w:lastRenderedPageBreak/>
        <w:t>obciążone prawami zastawniczymi – zarówno hipoteką, jak i zastawem. Ich sprzedaży dokonuje syndyk, a uzyskana suma podlega podziałowi pomiędzy zabezpieczonych rzeczowo na danym przedmiocie wierzycieli. Zaspokojenie w postępowaniu upadłościowym wierzyciela rzeczowego upadłego w inny sposób, w szczególności w drodze przejęcia przez niego przedmiotu zabezpieczenia na własność nie jest więc co do zasady możliwe. Rozwiązanie takie jest spójne z dotyczącymi zarówno hipoteki, jak i zastawu regulacjami, w myśl których zaspokojenie tak zabezpi</w:t>
      </w:r>
      <w:r w:rsidR="00C00C4D">
        <w:rPr>
          <w:rFonts w:ascii="Times New Roman" w:eastAsia="Calibri" w:hAnsi="Times New Roman" w:cs="Times New Roman"/>
          <w:sz w:val="24"/>
          <w:szCs w:val="24"/>
        </w:rPr>
        <w:t xml:space="preserve">eczonego wierzyciela następuje co do zasady </w:t>
      </w:r>
      <w:r w:rsidRPr="00394B84">
        <w:rPr>
          <w:rFonts w:ascii="Times New Roman" w:eastAsia="Calibri" w:hAnsi="Times New Roman" w:cs="Times New Roman"/>
          <w:sz w:val="24"/>
          <w:szCs w:val="24"/>
        </w:rPr>
        <w:t>w trybie sądowego postępowania egzekucyjnego</w:t>
      </w:r>
      <w:r w:rsidR="005C743F">
        <w:rPr>
          <w:rFonts w:ascii="Times New Roman" w:eastAsia="Calibri" w:hAnsi="Times New Roman" w:cs="Times New Roman"/>
          <w:sz w:val="24"/>
          <w:szCs w:val="24"/>
        </w:rPr>
        <w:t>.</w:t>
      </w:r>
      <w:r w:rsidRPr="00394B84">
        <w:rPr>
          <w:rFonts w:ascii="Times New Roman" w:eastAsia="Calibri" w:hAnsi="Times New Roman" w:cs="Times New Roman"/>
          <w:sz w:val="24"/>
          <w:szCs w:val="24"/>
        </w:rPr>
        <w:t xml:space="preserve"> Nieliczne, przewidziane przez przepisy KC w odniesieniu do zastawu kodeksowego, wyjątki umożliwiające </w:t>
      </w:r>
      <w:proofErr w:type="spellStart"/>
      <w:r w:rsidRPr="00394B84">
        <w:rPr>
          <w:rFonts w:ascii="Times New Roman" w:eastAsia="Calibri" w:hAnsi="Times New Roman" w:cs="Times New Roman"/>
          <w:sz w:val="24"/>
          <w:szCs w:val="24"/>
        </w:rPr>
        <w:t>pozaegzekucyjne</w:t>
      </w:r>
      <w:proofErr w:type="spellEnd"/>
      <w:r w:rsidRPr="00394B84">
        <w:rPr>
          <w:rFonts w:ascii="Times New Roman" w:eastAsia="Calibri" w:hAnsi="Times New Roman" w:cs="Times New Roman"/>
          <w:sz w:val="24"/>
          <w:szCs w:val="24"/>
        </w:rPr>
        <w:t xml:space="preserve"> zaspokojenie zastawnika nie zostały przez ustaw</w:t>
      </w:r>
      <w:r w:rsidR="00C00C4D">
        <w:rPr>
          <w:rFonts w:ascii="Times New Roman" w:eastAsia="Calibri" w:hAnsi="Times New Roman" w:cs="Times New Roman"/>
          <w:sz w:val="24"/>
          <w:szCs w:val="24"/>
        </w:rPr>
        <w:t>odawcę przeniesione na grunt PU</w:t>
      </w:r>
      <w:r w:rsidRPr="00394B84">
        <w:rPr>
          <w:rFonts w:ascii="Times New Roman" w:eastAsia="Calibri" w:hAnsi="Times New Roman" w:cs="Times New Roman"/>
          <w:sz w:val="24"/>
          <w:szCs w:val="24"/>
        </w:rPr>
        <w:t>. Zarówno w przypadku zastawu kodeksowego, jak i hipoteki na mieniu upadłego, jego wierzyciel rzeczowy musi oczekiwać na sprzedaż przedmiotu zabezpieczenia przez syndyka i podlega zaspokojeniu z sumy uzyskanej ze sprzedaży obciążonego przedmiotu, w oparciu o prawo odrębności</w:t>
      </w:r>
      <w:r w:rsidR="00C00C4D">
        <w:rPr>
          <w:rFonts w:ascii="Times New Roman" w:eastAsia="Calibri" w:hAnsi="Times New Roman" w:cs="Times New Roman"/>
          <w:sz w:val="24"/>
          <w:szCs w:val="24"/>
        </w:rPr>
        <w:t>.</w:t>
      </w:r>
    </w:p>
    <w:p w:rsidR="00B664E8" w:rsidRPr="00091A34" w:rsidRDefault="00394B84" w:rsidP="00394B8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 xml:space="preserve">Od zasady </w:t>
      </w:r>
      <w:r w:rsidR="00C00C4D">
        <w:rPr>
          <w:rFonts w:ascii="Times New Roman" w:eastAsia="Calibri" w:hAnsi="Times New Roman" w:cs="Times New Roman"/>
          <w:sz w:val="24"/>
          <w:szCs w:val="24"/>
        </w:rPr>
        <w:t xml:space="preserve">tej </w:t>
      </w:r>
      <w:r w:rsidRPr="00394B84">
        <w:rPr>
          <w:rFonts w:ascii="Times New Roman" w:eastAsia="Calibri" w:hAnsi="Times New Roman" w:cs="Times New Roman"/>
          <w:sz w:val="24"/>
          <w:szCs w:val="24"/>
        </w:rPr>
        <w:t>ustawodawca dopuszcza jednak wyjątek w sytuacji, gdy wierzytelność zabezpieczona jest, obciążającym przedmiot wchodzący w skład masy upadłości, zastawem rejestrowym lub finansowym. Sytuacji takiej dotyczy wspomniany</w:t>
      </w:r>
      <w:r w:rsidR="00C00C4D">
        <w:rPr>
          <w:rFonts w:ascii="Times New Roman" w:eastAsia="Calibri" w:hAnsi="Times New Roman" w:cs="Times New Roman"/>
          <w:sz w:val="24"/>
          <w:szCs w:val="24"/>
        </w:rPr>
        <w:t xml:space="preserve"> już przepis art. 311 ust. 2 PU</w:t>
      </w:r>
      <w:r w:rsidRPr="00394B84">
        <w:rPr>
          <w:rFonts w:ascii="Times New Roman" w:eastAsia="Calibri" w:hAnsi="Times New Roman" w:cs="Times New Roman"/>
          <w:sz w:val="24"/>
          <w:szCs w:val="24"/>
        </w:rPr>
        <w:t>, zgodnie z którym  w przypadkach wskazanych w tej ustawie likwidacja ruchomości obciążonych zastawem rejestrowym oraz wierzytelności i praw obciążonych zastawem rejestrowym lub zastawem finansowym może nastąpić także przez przejęcie ich przez wierzyciela będącego zastawnikiem zastawu rejestrowego lub zastawu finansowego, jeżeli umowa o ustanowieniu zastawu przewiduje zaspokojenie zastawnika w drodze przejęcia przedmiotu zastawu.  Kwestię tę regulują bl</w:t>
      </w:r>
      <w:r w:rsidR="00B664E8">
        <w:rPr>
          <w:rFonts w:ascii="Times New Roman" w:eastAsia="Calibri" w:hAnsi="Times New Roman" w:cs="Times New Roman"/>
          <w:sz w:val="24"/>
          <w:szCs w:val="24"/>
        </w:rPr>
        <w:t>iżej przepisy art. 327 – 330 PU</w:t>
      </w:r>
      <w:r w:rsidRPr="00394B84">
        <w:rPr>
          <w:rFonts w:ascii="Times New Roman" w:eastAsia="Calibri" w:hAnsi="Times New Roman" w:cs="Times New Roman"/>
          <w:sz w:val="24"/>
          <w:szCs w:val="24"/>
        </w:rPr>
        <w:t xml:space="preserve">. Stosuje się je nie tylko do likwidacji obciążonych zastawem rejestrowym, wchodzących w skład masy upadłości rzeczy ruchomych, ale  również, </w:t>
      </w:r>
      <w:r w:rsidR="00B664E8">
        <w:rPr>
          <w:rFonts w:ascii="Times New Roman" w:eastAsia="Calibri" w:hAnsi="Times New Roman" w:cs="Times New Roman"/>
          <w:sz w:val="24"/>
          <w:szCs w:val="24"/>
        </w:rPr>
        <w:t xml:space="preserve"> jak stanowi art. 333 ust. 1 PU</w:t>
      </w:r>
      <w:r w:rsidRPr="00394B84">
        <w:rPr>
          <w:rFonts w:ascii="Times New Roman" w:eastAsia="Calibri" w:hAnsi="Times New Roman" w:cs="Times New Roman"/>
          <w:sz w:val="24"/>
          <w:szCs w:val="24"/>
        </w:rPr>
        <w:t xml:space="preserve">, do likwidacji obciążonych zastawem rejestrowym wierzytelności i praw majątkowych upadłego, </w:t>
      </w:r>
      <w:r w:rsidR="00B664E8">
        <w:rPr>
          <w:rFonts w:ascii="Times New Roman" w:eastAsia="Calibri" w:hAnsi="Times New Roman" w:cs="Times New Roman"/>
          <w:sz w:val="24"/>
          <w:szCs w:val="24"/>
        </w:rPr>
        <w:t>oraz, z mocy art. 333 ust. 2 PU</w:t>
      </w:r>
      <w:r w:rsidRPr="00394B84">
        <w:rPr>
          <w:rFonts w:ascii="Times New Roman" w:eastAsia="Calibri" w:hAnsi="Times New Roman" w:cs="Times New Roman"/>
          <w:sz w:val="24"/>
          <w:szCs w:val="24"/>
        </w:rPr>
        <w:t xml:space="preserve">, do likwidacji wierzytelności i praw majątkowych upadłego obciążonych zastawem finansowym. </w:t>
      </w:r>
    </w:p>
    <w:p w:rsidR="00091A34" w:rsidRDefault="00091A34" w:rsidP="00394B8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327 ust. 1 PU</w:t>
      </w:r>
      <w:r w:rsidR="00394B84" w:rsidRPr="00394B84">
        <w:rPr>
          <w:rFonts w:ascii="Times New Roman" w:eastAsia="Calibri" w:hAnsi="Times New Roman" w:cs="Times New Roman"/>
          <w:sz w:val="24"/>
          <w:szCs w:val="24"/>
        </w:rPr>
        <w:t>, zastawnik rejestrowy może zaspokoić się z przedmiotu zastawu przez jego przejęcie albo zbycie w trybie określonym w art. 24 UZR</w:t>
      </w:r>
      <w:r>
        <w:rPr>
          <w:rFonts w:ascii="Times New Roman" w:eastAsia="Calibri" w:hAnsi="Times New Roman" w:cs="Times New Roman"/>
          <w:sz w:val="24"/>
          <w:szCs w:val="24"/>
        </w:rPr>
        <w:t xml:space="preserve"> (</w:t>
      </w:r>
      <w:r w:rsidRPr="00394B84">
        <w:rPr>
          <w:rFonts w:ascii="Times New Roman" w:eastAsia="Calibri" w:hAnsi="Times New Roman" w:cs="Times New Roman"/>
          <w:sz w:val="24"/>
          <w:szCs w:val="24"/>
        </w:rPr>
        <w:t>czyli z sumy uzyskanej ze sprzedaży przedmiotu zastawu rejestrowego w drodze przetargu publicznego prowadzonego przez notariusza lub komornika</w:t>
      </w:r>
      <w:r>
        <w:rPr>
          <w:rFonts w:ascii="Times New Roman" w:eastAsia="Calibri" w:hAnsi="Times New Roman" w:cs="Times New Roman"/>
          <w:sz w:val="24"/>
          <w:szCs w:val="24"/>
        </w:rPr>
        <w:t>)</w:t>
      </w:r>
      <w:r w:rsidR="00394B84" w:rsidRPr="00394B84">
        <w:rPr>
          <w:rFonts w:ascii="Times New Roman" w:eastAsia="Calibri" w:hAnsi="Times New Roman" w:cs="Times New Roman"/>
          <w:sz w:val="24"/>
          <w:szCs w:val="24"/>
        </w:rPr>
        <w:t xml:space="preserve">, jeżeli umowa o ustanowienie zastawu przewiduje taki sposób jego zaspokojenia. Jak celnie wskazuje A. Świderek „prawo upadłościowe i naprawcze nie niweczy skutku umowy zastawu rejestrowego uprawniającego zastawnika do zaspokojenia się z przedmiotu zastawu poprzez jego przejęcie na własność </w:t>
      </w:r>
      <w:r w:rsidR="00394B84" w:rsidRPr="00394B84">
        <w:rPr>
          <w:rFonts w:ascii="Times New Roman" w:eastAsia="Calibri" w:hAnsi="Times New Roman" w:cs="Times New Roman"/>
          <w:sz w:val="24"/>
          <w:szCs w:val="24"/>
        </w:rPr>
        <w:lastRenderedPageBreak/>
        <w:t>przez zastawnika”. W przypadku zastawu rejestrowego sprzedaż przedmiotu zabezpieczenia przez syndyka (choć może ona nastąpić) i zaspokojenie wierzyciela - zastawnika rejestrowego z uzyskanej sumy według ogólnych reguł, a więc na zasadzie prawa odrębności, nie jest jedynym dopuszczonym w postępowaniu upadłościowym sposobem zaspokojenia wierzyciela – odmiennie niż w przypadku hipoteki i zastawu kodeksowego. Wierzytelności zabezpieczone zastawem rejestrowym są zatem, jak słusznie zauważa S. Gurgul, up</w:t>
      </w:r>
      <w:r>
        <w:rPr>
          <w:rFonts w:ascii="Times New Roman" w:eastAsia="Calibri" w:hAnsi="Times New Roman" w:cs="Times New Roman"/>
          <w:sz w:val="24"/>
          <w:szCs w:val="24"/>
        </w:rPr>
        <w:t>rzywilejowane przez przepisy PU</w:t>
      </w:r>
      <w:r w:rsidR="00394B84" w:rsidRPr="00394B84">
        <w:rPr>
          <w:rFonts w:ascii="Times New Roman" w:eastAsia="Calibri" w:hAnsi="Times New Roman" w:cs="Times New Roman"/>
          <w:sz w:val="24"/>
          <w:szCs w:val="24"/>
        </w:rPr>
        <w:t xml:space="preserve"> w stosunku do wierzytelności zabezpieczonych innymi rodzajami zastawu</w:t>
      </w:r>
      <w:r w:rsidR="005C743F">
        <w:rPr>
          <w:rFonts w:ascii="Times New Roman" w:eastAsia="Calibri" w:hAnsi="Times New Roman" w:cs="Times New Roman"/>
          <w:sz w:val="24"/>
          <w:szCs w:val="24"/>
        </w:rPr>
        <w:t xml:space="preserve"> </w:t>
      </w:r>
      <w:r w:rsidR="00394B84" w:rsidRPr="00394B84">
        <w:rPr>
          <w:rFonts w:ascii="Times New Roman" w:eastAsia="Calibri" w:hAnsi="Times New Roman" w:cs="Times New Roman"/>
          <w:sz w:val="24"/>
          <w:szCs w:val="24"/>
        </w:rPr>
        <w:t xml:space="preserve">- a także, w </w:t>
      </w:r>
      <w:r>
        <w:rPr>
          <w:rFonts w:ascii="Times New Roman" w:eastAsia="Calibri" w:hAnsi="Times New Roman" w:cs="Times New Roman"/>
          <w:sz w:val="24"/>
          <w:szCs w:val="24"/>
        </w:rPr>
        <w:t xml:space="preserve">mojej opinii </w:t>
      </w:r>
      <w:r w:rsidR="00394B84" w:rsidRPr="00394B84">
        <w:rPr>
          <w:rFonts w:ascii="Times New Roman" w:eastAsia="Calibri" w:hAnsi="Times New Roman" w:cs="Times New Roman"/>
          <w:sz w:val="24"/>
          <w:szCs w:val="24"/>
        </w:rPr>
        <w:t xml:space="preserve"> – w stosunku do wierzytelności zabezpieczonych hipoteką.</w:t>
      </w:r>
      <w:r>
        <w:rPr>
          <w:rFonts w:ascii="Times New Roman" w:eastAsia="Calibri" w:hAnsi="Times New Roman" w:cs="Times New Roman"/>
          <w:sz w:val="24"/>
          <w:szCs w:val="24"/>
        </w:rPr>
        <w:t xml:space="preserve"> </w:t>
      </w:r>
    </w:p>
    <w:p w:rsidR="00091A34" w:rsidRPr="00394B84" w:rsidRDefault="00091A34" w:rsidP="00091A3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94B84">
        <w:rPr>
          <w:rFonts w:ascii="Times New Roman" w:eastAsia="Calibri" w:hAnsi="Times New Roman" w:cs="Times New Roman"/>
          <w:sz w:val="24"/>
          <w:szCs w:val="24"/>
        </w:rPr>
        <w:t xml:space="preserve">Analogicznie jak w przypadku </w:t>
      </w:r>
      <w:proofErr w:type="spellStart"/>
      <w:r w:rsidRPr="00394B84">
        <w:rPr>
          <w:rFonts w:ascii="Times New Roman" w:eastAsia="Calibri" w:hAnsi="Times New Roman" w:cs="Times New Roman"/>
          <w:sz w:val="24"/>
          <w:szCs w:val="24"/>
        </w:rPr>
        <w:t>pozaegzekucyjnych</w:t>
      </w:r>
      <w:proofErr w:type="spellEnd"/>
      <w:r w:rsidRPr="00394B84">
        <w:rPr>
          <w:rFonts w:ascii="Times New Roman" w:eastAsia="Calibri" w:hAnsi="Times New Roman" w:cs="Times New Roman"/>
          <w:sz w:val="24"/>
          <w:szCs w:val="24"/>
        </w:rPr>
        <w:t xml:space="preserve"> sposobów zaspokojenia zastawnika rejestrowego przewidzianych w </w:t>
      </w:r>
      <w:r w:rsidR="00BB2990">
        <w:rPr>
          <w:rFonts w:ascii="Times New Roman" w:eastAsia="Calibri" w:hAnsi="Times New Roman" w:cs="Times New Roman"/>
          <w:sz w:val="24"/>
          <w:szCs w:val="24"/>
        </w:rPr>
        <w:t>UZR, również art. 327 ust. 1 PU</w:t>
      </w:r>
      <w:r w:rsidRPr="00394B84">
        <w:rPr>
          <w:rFonts w:ascii="Times New Roman" w:eastAsia="Calibri" w:hAnsi="Times New Roman" w:cs="Times New Roman"/>
          <w:sz w:val="24"/>
          <w:szCs w:val="24"/>
        </w:rPr>
        <w:t xml:space="preserve">, stanowi, iż zaspokojenie zastawnika rejestrowego w którymś z przewidzianych w nim szczególnych trybów może nastąpić wówczas, gdy taki sposób przewiduje umowa zastawnicza. Występuje w tym przypadku wyraźna korelacja pomiędzy regulacjami UZR dotyczącymi szczególnych </w:t>
      </w:r>
      <w:proofErr w:type="spellStart"/>
      <w:r w:rsidRPr="00394B84">
        <w:rPr>
          <w:rFonts w:ascii="Times New Roman" w:eastAsia="Calibri" w:hAnsi="Times New Roman" w:cs="Times New Roman"/>
          <w:sz w:val="24"/>
          <w:szCs w:val="24"/>
        </w:rPr>
        <w:t>pozaegzekucyjnych</w:t>
      </w:r>
      <w:proofErr w:type="spellEnd"/>
      <w:r w:rsidRPr="00394B84">
        <w:rPr>
          <w:rFonts w:ascii="Times New Roman" w:eastAsia="Calibri" w:hAnsi="Times New Roman" w:cs="Times New Roman"/>
          <w:sz w:val="24"/>
          <w:szCs w:val="24"/>
        </w:rPr>
        <w:t xml:space="preserve"> sposobów zaspokojenia zastawnika  rejestrowego</w:t>
      </w:r>
      <w:r w:rsidR="00BB2990">
        <w:rPr>
          <w:rFonts w:ascii="Times New Roman" w:eastAsia="Calibri" w:hAnsi="Times New Roman" w:cs="Times New Roman"/>
          <w:sz w:val="24"/>
          <w:szCs w:val="24"/>
        </w:rPr>
        <w:t xml:space="preserve"> a przepisem art. 327 ust. 1 PU. Ustawodawca w przepisach PU</w:t>
      </w:r>
      <w:r w:rsidRPr="00394B84">
        <w:rPr>
          <w:rFonts w:ascii="Times New Roman" w:eastAsia="Calibri" w:hAnsi="Times New Roman" w:cs="Times New Roman"/>
          <w:sz w:val="24"/>
          <w:szCs w:val="24"/>
        </w:rPr>
        <w:t xml:space="preserve"> zezwala zatem na wykorzystanie wskazanych przez strony umowy zastawniczej </w:t>
      </w:r>
      <w:proofErr w:type="spellStart"/>
      <w:r w:rsidRPr="00394B84">
        <w:rPr>
          <w:rFonts w:ascii="Times New Roman" w:eastAsia="Calibri" w:hAnsi="Times New Roman" w:cs="Times New Roman"/>
          <w:sz w:val="24"/>
          <w:szCs w:val="24"/>
        </w:rPr>
        <w:t>pozaegzekucyjnych</w:t>
      </w:r>
      <w:proofErr w:type="spellEnd"/>
      <w:r w:rsidRPr="00394B84">
        <w:rPr>
          <w:rFonts w:ascii="Times New Roman" w:eastAsia="Calibri" w:hAnsi="Times New Roman" w:cs="Times New Roman"/>
          <w:sz w:val="24"/>
          <w:szCs w:val="24"/>
        </w:rPr>
        <w:t xml:space="preserve"> sposobów zaspokojenia zastawnika również w postępowaniu upadłościowym. Umowa ta nie musi zawierać odrębnych postanowień dotyczących kwestii zaspokojenia zastawnika rejestrowego w razie upadłości zastawcy. Jej postanowienia dopuszczające </w:t>
      </w:r>
      <w:proofErr w:type="spellStart"/>
      <w:r w:rsidRPr="00394B84">
        <w:rPr>
          <w:rFonts w:ascii="Times New Roman" w:eastAsia="Calibri" w:hAnsi="Times New Roman" w:cs="Times New Roman"/>
          <w:sz w:val="24"/>
          <w:szCs w:val="24"/>
        </w:rPr>
        <w:t>pozaegzekucyjne</w:t>
      </w:r>
      <w:proofErr w:type="spellEnd"/>
      <w:r w:rsidRPr="00394B84">
        <w:rPr>
          <w:rFonts w:ascii="Times New Roman" w:eastAsia="Calibri" w:hAnsi="Times New Roman" w:cs="Times New Roman"/>
          <w:sz w:val="24"/>
          <w:szCs w:val="24"/>
        </w:rPr>
        <w:t xml:space="preserve"> zaspokojenie zastawnika poprzez przejęcie przez zastawnika przedmiotu zastawu na własność bądź z sumy uzyskanej ze sprzedaży przedmiotu zastawu rejestrowego w drodze przetargu publicznego prowadzonego przez notariusza lub komornika umożliwiają równocze</w:t>
      </w:r>
      <w:r w:rsidR="00BB2990">
        <w:rPr>
          <w:rFonts w:ascii="Times New Roman" w:eastAsia="Calibri" w:hAnsi="Times New Roman" w:cs="Times New Roman"/>
          <w:sz w:val="24"/>
          <w:szCs w:val="24"/>
        </w:rPr>
        <w:t>śnie, z mocy art. 327 ust. 1 PU</w:t>
      </w:r>
      <w:r w:rsidRPr="00394B84">
        <w:rPr>
          <w:rFonts w:ascii="Times New Roman" w:eastAsia="Calibri" w:hAnsi="Times New Roman" w:cs="Times New Roman"/>
          <w:sz w:val="24"/>
          <w:szCs w:val="24"/>
        </w:rPr>
        <w:t xml:space="preserve">, zaspokojenie zastawnika rejestrowego w taki sposób w razie upadłości zastawcy. </w:t>
      </w:r>
    </w:p>
    <w:p w:rsidR="00091A34" w:rsidRDefault="00091A34" w:rsidP="00091A3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 xml:space="preserve">Z drugiej strony, brak w umowie zastawniczej postanowień dopuszczających któryś z wyżej wymienionych </w:t>
      </w:r>
      <w:proofErr w:type="spellStart"/>
      <w:r w:rsidRPr="00394B84">
        <w:rPr>
          <w:rFonts w:ascii="Times New Roman" w:eastAsia="Calibri" w:hAnsi="Times New Roman" w:cs="Times New Roman"/>
          <w:sz w:val="24"/>
          <w:szCs w:val="24"/>
        </w:rPr>
        <w:t>pozaegzekucyjnych</w:t>
      </w:r>
      <w:proofErr w:type="spellEnd"/>
      <w:r w:rsidRPr="00394B84">
        <w:rPr>
          <w:rFonts w:ascii="Times New Roman" w:eastAsia="Calibri" w:hAnsi="Times New Roman" w:cs="Times New Roman"/>
          <w:sz w:val="24"/>
          <w:szCs w:val="24"/>
        </w:rPr>
        <w:t xml:space="preserve"> sposobów zaspokojenia zastawnika rejestrowego, uniemożliwia jego zaspokojenie w postępowaniu upadłościowym w szczególnym trybie prz</w:t>
      </w:r>
      <w:r w:rsidR="00BB2990">
        <w:rPr>
          <w:rFonts w:ascii="Times New Roman" w:eastAsia="Calibri" w:hAnsi="Times New Roman" w:cs="Times New Roman"/>
          <w:sz w:val="24"/>
          <w:szCs w:val="24"/>
        </w:rPr>
        <w:t>ewidzianym w art. 327 ust. 1 PU</w:t>
      </w:r>
      <w:r w:rsidRPr="00394B84">
        <w:rPr>
          <w:rFonts w:ascii="Times New Roman" w:eastAsia="Calibri" w:hAnsi="Times New Roman" w:cs="Times New Roman"/>
          <w:sz w:val="24"/>
          <w:szCs w:val="24"/>
        </w:rPr>
        <w:t>. Przepis ten może zatem znaleźć zastosowanie tylko wówczas, gdy któryś z przewidzianych przez niego sposobów zaspokojenia zastawnika rejestrowego w postępowaniu upadłościowym, został przez strony wyraźnie dopuszczony już w treści umowy zastawniczej. W braku stosownych jej postanowień, jedynym dopuszczalnym sposobem zaspokojenia zastawnika rejestrowego jest zwykły t</w:t>
      </w:r>
      <w:r w:rsidR="00BB2990">
        <w:rPr>
          <w:rFonts w:ascii="Times New Roman" w:eastAsia="Calibri" w:hAnsi="Times New Roman" w:cs="Times New Roman"/>
          <w:sz w:val="24"/>
          <w:szCs w:val="24"/>
        </w:rPr>
        <w:t>ryb, przewidziany przepisami PU</w:t>
      </w:r>
      <w:r w:rsidRPr="00394B84">
        <w:rPr>
          <w:rFonts w:ascii="Times New Roman" w:eastAsia="Calibri" w:hAnsi="Times New Roman" w:cs="Times New Roman"/>
          <w:sz w:val="24"/>
          <w:szCs w:val="24"/>
        </w:rPr>
        <w:t xml:space="preserve">, polegający na likwidacji przedmiotu zastawu rejestrowego przez syndyka i zaspokojeniu zastawnika z uzyskanej sumy na zasadzie prawa odrębności. Wskazać należy również, że gdy postanowienia umowy zastawniczej przewidują tylko jeden z wyżej  sposobów </w:t>
      </w:r>
      <w:proofErr w:type="spellStart"/>
      <w:r w:rsidRPr="00394B84">
        <w:rPr>
          <w:rFonts w:ascii="Times New Roman" w:eastAsia="Calibri" w:hAnsi="Times New Roman" w:cs="Times New Roman"/>
          <w:sz w:val="24"/>
          <w:szCs w:val="24"/>
        </w:rPr>
        <w:lastRenderedPageBreak/>
        <w:t>pozaegzekucyjnego</w:t>
      </w:r>
      <w:proofErr w:type="spellEnd"/>
      <w:r w:rsidRPr="00394B84">
        <w:rPr>
          <w:rFonts w:ascii="Times New Roman" w:eastAsia="Calibri" w:hAnsi="Times New Roman" w:cs="Times New Roman"/>
          <w:sz w:val="24"/>
          <w:szCs w:val="24"/>
        </w:rPr>
        <w:t xml:space="preserve"> zaspokojenia zastawnika rejestrowego (np. tylko przejęcie na własność), to również na gruncie postępowania upadłościowego tylko taki tryb może zostać wykorzystany w celu zaspokojenia zastawnika rejestrowego. Warunkiem </w:t>
      </w:r>
      <w:r w:rsidRPr="00394B84">
        <w:rPr>
          <w:rFonts w:ascii="Times New Roman" w:eastAsia="Calibri" w:hAnsi="Times New Roman" w:cs="Times New Roman"/>
          <w:i/>
          <w:sz w:val="24"/>
          <w:szCs w:val="24"/>
        </w:rPr>
        <w:t xml:space="preserve">sine </w:t>
      </w:r>
      <w:proofErr w:type="spellStart"/>
      <w:r w:rsidRPr="00394B84">
        <w:rPr>
          <w:rFonts w:ascii="Times New Roman" w:eastAsia="Calibri" w:hAnsi="Times New Roman" w:cs="Times New Roman"/>
          <w:i/>
          <w:sz w:val="24"/>
          <w:szCs w:val="24"/>
        </w:rPr>
        <w:t>qua</w:t>
      </w:r>
      <w:proofErr w:type="spellEnd"/>
      <w:r w:rsidRPr="00394B84">
        <w:rPr>
          <w:rFonts w:ascii="Times New Roman" w:eastAsia="Calibri" w:hAnsi="Times New Roman" w:cs="Times New Roman"/>
          <w:i/>
          <w:sz w:val="24"/>
          <w:szCs w:val="24"/>
        </w:rPr>
        <w:t xml:space="preserve"> non</w:t>
      </w:r>
      <w:r w:rsidRPr="00394B84">
        <w:rPr>
          <w:rFonts w:ascii="Times New Roman" w:eastAsia="Calibri" w:hAnsi="Times New Roman" w:cs="Times New Roman"/>
          <w:sz w:val="24"/>
          <w:szCs w:val="24"/>
        </w:rPr>
        <w:t xml:space="preserve"> wykorzystania w postępowaniu upadłościowym któregoś z prze</w:t>
      </w:r>
      <w:r w:rsidR="00BB2990">
        <w:rPr>
          <w:rFonts w:ascii="Times New Roman" w:eastAsia="Calibri" w:hAnsi="Times New Roman" w:cs="Times New Roman"/>
          <w:sz w:val="24"/>
          <w:szCs w:val="24"/>
        </w:rPr>
        <w:t>widzianych w art. 327 ust. 1 PU</w:t>
      </w:r>
      <w:r w:rsidRPr="00394B84">
        <w:rPr>
          <w:rFonts w:ascii="Times New Roman" w:eastAsia="Calibri" w:hAnsi="Times New Roman" w:cs="Times New Roman"/>
          <w:sz w:val="24"/>
          <w:szCs w:val="24"/>
        </w:rPr>
        <w:t xml:space="preserve"> szczególnych sposobów zaspokojenia zastawnika rejestrowego, jest zatem zawarcie w postanowieniach umowy zastawniczej odpowiednich zapisów, przewidujących jego zaspokojenie w trybie przewidzianym w art. 22 lub 24 UZR. W przypadku, gdy postanowienia umowy zastawniczej dopuszczają zaspokojenie zastawnika rejestrowego zarówno poprzez przejęcie przedmiotu zastawu na własność, jak i w trybie przewidzianym w art. 24 UZR, przyjąć należy, że obydwa te sposoby,</w:t>
      </w:r>
      <w:r w:rsidR="00BB2990">
        <w:rPr>
          <w:rFonts w:ascii="Times New Roman" w:eastAsia="Calibri" w:hAnsi="Times New Roman" w:cs="Times New Roman"/>
          <w:sz w:val="24"/>
          <w:szCs w:val="24"/>
        </w:rPr>
        <w:t xml:space="preserve"> w oparciu o art. 327 ust. 1 PU</w:t>
      </w:r>
      <w:r w:rsidRPr="00394B84">
        <w:rPr>
          <w:rFonts w:ascii="Times New Roman" w:eastAsia="Calibri" w:hAnsi="Times New Roman" w:cs="Times New Roman"/>
          <w:sz w:val="24"/>
          <w:szCs w:val="24"/>
        </w:rPr>
        <w:t xml:space="preserve">, mogą być wykorzystane również dla jego zaspokojenia w postępowaniu upadłościowym. Wybór sposobu zaspokojenia, tak jak na gruncie UZR, w opinii autora należy przy tym co do zasady do zastawnika, o ile strony w umowie zastawniczej nie wskazały inaczej. </w:t>
      </w:r>
    </w:p>
    <w:p w:rsidR="009B70C0" w:rsidRDefault="009B70C0" w:rsidP="009B70C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94B84">
        <w:rPr>
          <w:rFonts w:ascii="Times New Roman" w:eastAsia="Calibri" w:hAnsi="Times New Roman" w:cs="Times New Roman"/>
          <w:sz w:val="24"/>
          <w:szCs w:val="24"/>
        </w:rPr>
        <w:t>Rozpatrując kwestię zaspokojenia zastawnika rejestrowego z przedmiotu zastawu w trybie prz</w:t>
      </w:r>
      <w:r>
        <w:rPr>
          <w:rFonts w:ascii="Times New Roman" w:eastAsia="Calibri" w:hAnsi="Times New Roman" w:cs="Times New Roman"/>
          <w:sz w:val="24"/>
          <w:szCs w:val="24"/>
        </w:rPr>
        <w:t>ewidzianym w art. 327 ust. 1 PU</w:t>
      </w:r>
      <w:r w:rsidRPr="00394B84">
        <w:rPr>
          <w:rFonts w:ascii="Times New Roman" w:eastAsia="Calibri" w:hAnsi="Times New Roman" w:cs="Times New Roman"/>
          <w:sz w:val="24"/>
          <w:szCs w:val="24"/>
        </w:rPr>
        <w:t xml:space="preserve"> należy wyraźnie odróżnić dwie oddziel</w:t>
      </w:r>
      <w:r>
        <w:rPr>
          <w:rFonts w:ascii="Times New Roman" w:eastAsia="Calibri" w:hAnsi="Times New Roman" w:cs="Times New Roman"/>
          <w:sz w:val="24"/>
          <w:szCs w:val="24"/>
        </w:rPr>
        <w:t>nie uregulowane w przepisach PU</w:t>
      </w:r>
      <w:r w:rsidRPr="00394B84">
        <w:rPr>
          <w:rFonts w:ascii="Times New Roman" w:eastAsia="Calibri" w:hAnsi="Times New Roman" w:cs="Times New Roman"/>
          <w:sz w:val="24"/>
          <w:szCs w:val="24"/>
        </w:rPr>
        <w:t xml:space="preserve"> sytuacje – pierwszą, gdy przedmiot zastawu znajduje się w posiadaniu zastawnika lub osób trzecich (kt</w:t>
      </w:r>
      <w:r>
        <w:rPr>
          <w:rFonts w:ascii="Times New Roman" w:eastAsia="Calibri" w:hAnsi="Times New Roman" w:cs="Times New Roman"/>
          <w:sz w:val="24"/>
          <w:szCs w:val="24"/>
        </w:rPr>
        <w:t>órej dotyczy art. 327 ust. 2 PU</w:t>
      </w:r>
      <w:r w:rsidRPr="00394B84">
        <w:rPr>
          <w:rFonts w:ascii="Times New Roman" w:eastAsia="Calibri" w:hAnsi="Times New Roman" w:cs="Times New Roman"/>
          <w:sz w:val="24"/>
          <w:szCs w:val="24"/>
        </w:rPr>
        <w:t>) i drugą</w:t>
      </w:r>
      <w:r>
        <w:rPr>
          <w:rFonts w:ascii="Times New Roman" w:eastAsia="Calibri" w:hAnsi="Times New Roman" w:cs="Times New Roman"/>
          <w:sz w:val="24"/>
          <w:szCs w:val="24"/>
        </w:rPr>
        <w:t>, ujętą w przepisie art. 328 PU</w:t>
      </w:r>
      <w:r w:rsidRPr="00394B84">
        <w:rPr>
          <w:rFonts w:ascii="Times New Roman" w:eastAsia="Calibri" w:hAnsi="Times New Roman" w:cs="Times New Roman"/>
          <w:sz w:val="24"/>
          <w:szCs w:val="24"/>
        </w:rPr>
        <w:t>, gdy przedmiot zabezpieczenia znajduje się we władaniu syndyka. Ma to istotne znaczenie dla sposobu postępowania zarówno samego zastawnika, jak i syndyka oraz sędziego-komisarza</w:t>
      </w:r>
      <w:r w:rsidR="005C743F">
        <w:rPr>
          <w:rFonts w:ascii="Times New Roman" w:eastAsia="Calibri" w:hAnsi="Times New Roman" w:cs="Times New Roman"/>
          <w:sz w:val="24"/>
          <w:szCs w:val="24"/>
        </w:rPr>
        <w:t>,</w:t>
      </w:r>
      <w:r w:rsidRPr="00394B84">
        <w:rPr>
          <w:rFonts w:ascii="Times New Roman" w:eastAsia="Calibri" w:hAnsi="Times New Roman" w:cs="Times New Roman"/>
          <w:sz w:val="24"/>
          <w:szCs w:val="24"/>
        </w:rPr>
        <w:t xml:space="preserve"> decydując o trybie zaspokojenia zastawnika rejestrowego z przedmiotu zastawu</w:t>
      </w:r>
      <w:r w:rsidR="005C743F">
        <w:rPr>
          <w:rFonts w:ascii="Times New Roman" w:eastAsia="Calibri" w:hAnsi="Times New Roman" w:cs="Times New Roman"/>
          <w:sz w:val="24"/>
          <w:szCs w:val="24"/>
        </w:rPr>
        <w:t>.</w:t>
      </w:r>
    </w:p>
    <w:p w:rsidR="009B70C0" w:rsidRDefault="009B70C0" w:rsidP="009B70C0">
      <w:pPr>
        <w:spacing w:after="0" w:line="360" w:lineRule="auto"/>
        <w:ind w:firstLine="708"/>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Zgodnie z art. 327 ust.</w:t>
      </w:r>
      <w:r>
        <w:rPr>
          <w:rFonts w:ascii="Times New Roman" w:eastAsia="Calibri" w:hAnsi="Times New Roman" w:cs="Times New Roman"/>
          <w:sz w:val="24"/>
          <w:szCs w:val="24"/>
        </w:rPr>
        <w:t xml:space="preserve"> 2 PU</w:t>
      </w:r>
      <w:r w:rsidRPr="00394B84">
        <w:rPr>
          <w:rFonts w:ascii="Times New Roman" w:eastAsia="Calibri" w:hAnsi="Times New Roman" w:cs="Times New Roman"/>
          <w:sz w:val="24"/>
          <w:szCs w:val="24"/>
        </w:rPr>
        <w:t xml:space="preserve">, jeżeli rzecz obciążona zastawem rejestrowym znajduje się w posiadaniu zastawnika lub osób trzecich, zastawnik zawiadamia o zaspokojeniu się syndyka. W przypadku braku takiego zawiadomienia, jak słusznie postuluje </w:t>
      </w:r>
      <w:r w:rsidRPr="00394B84">
        <w:rPr>
          <w:rFonts w:ascii="Times New Roman" w:eastAsia="Calibri" w:hAnsi="Times New Roman" w:cs="Times New Roman"/>
          <w:i/>
          <w:sz w:val="24"/>
          <w:szCs w:val="24"/>
        </w:rPr>
        <w:t>P. Sokal</w:t>
      </w:r>
      <w:r w:rsidRPr="00394B84">
        <w:rPr>
          <w:rFonts w:ascii="Times New Roman" w:eastAsia="Calibri" w:hAnsi="Times New Roman" w:cs="Times New Roman"/>
          <w:sz w:val="24"/>
          <w:szCs w:val="24"/>
        </w:rPr>
        <w:t>, „syndyk powinien poinformować o tym fakcie sędziego-komisarza”. Sędzia-komisarz może bowiem wówczas wyznaczyć zastawnikowi stosowny termin do zaspokojenia się z przedmiotu zastawu. Jeżeli zastawnik nie skorzystał ze swojego uprawnienia do zaspokojenia się z przedmiotu zastawu w wyznaczonym  przez sędziego-komisarza terminie, osoba, u której znajduje się rzecz obciążona zastawem rejestrowym, obowiązana jest wydać przedmiot zastawu syndykowi. Po przekazaniu przedmiotu zastawu syndyk dokonuje jego sprzedaży według przepisów PUN. Suma uzyskana ze sprzedaży przedmiotu zabezpieczenia podlega przy tym odrębnemu podziałowi, z uwzględnieniem art. 336 i 340 PU</w:t>
      </w:r>
      <w:r>
        <w:rPr>
          <w:rFonts w:ascii="Times New Roman" w:eastAsia="Calibri" w:hAnsi="Times New Roman" w:cs="Times New Roman"/>
          <w:sz w:val="24"/>
          <w:szCs w:val="24"/>
        </w:rPr>
        <w:t>, a zatem w oparciu o prawo odrębności</w:t>
      </w:r>
      <w:r w:rsidRPr="00394B84">
        <w:rPr>
          <w:rFonts w:ascii="Times New Roman" w:eastAsia="Calibri" w:hAnsi="Times New Roman" w:cs="Times New Roman"/>
          <w:sz w:val="24"/>
          <w:szCs w:val="24"/>
        </w:rPr>
        <w:t xml:space="preserve">. </w:t>
      </w:r>
    </w:p>
    <w:p w:rsidR="00BB2990" w:rsidRDefault="009B70C0" w:rsidP="009B70C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Przepis art. 327 ust. 2 PU</w:t>
      </w:r>
      <w:r w:rsidRPr="00394B84">
        <w:rPr>
          <w:rFonts w:ascii="Times New Roman" w:eastAsia="Calibri" w:hAnsi="Times New Roman" w:cs="Times New Roman"/>
          <w:sz w:val="24"/>
          <w:szCs w:val="24"/>
        </w:rPr>
        <w:t xml:space="preserve"> obejmuje swoim zakresem obydwa </w:t>
      </w:r>
      <w:proofErr w:type="spellStart"/>
      <w:r w:rsidRPr="00394B84">
        <w:rPr>
          <w:rFonts w:ascii="Times New Roman" w:eastAsia="Calibri" w:hAnsi="Times New Roman" w:cs="Times New Roman"/>
          <w:sz w:val="24"/>
          <w:szCs w:val="24"/>
        </w:rPr>
        <w:t>pozaegzekucyjne</w:t>
      </w:r>
      <w:proofErr w:type="spellEnd"/>
      <w:r w:rsidRPr="00394B84">
        <w:rPr>
          <w:rFonts w:ascii="Times New Roman" w:eastAsia="Calibri" w:hAnsi="Times New Roman" w:cs="Times New Roman"/>
          <w:sz w:val="24"/>
          <w:szCs w:val="24"/>
        </w:rPr>
        <w:t>, dopuszczone w postępowaniu upadłościowym, tryby zaspokojenia zastawnika rejestrowego z przedmiotu zastawu – zarówno przez przejęcie tego przedmiotu na własność, jak i zaspokojenie z sumy uzyskanej ze sprzedaży tego przedmiotu przez notariusza lub komornika. W sytuacji, gdy przedmiot zastawu znajduje się w posiadaniu zastawnika (lub osoby trzeciej), może on zatem, w oparciu o art. 327 ust. 2 PUN nie tylko zaspokoić się poprzez przejęcie przedmiotu zastawu na własność, ale również skorzystać ze swojego prawa do żądania sprzedaży przedmiotu zastawu w trybie art. 24 UZR, a zatem przez notariusza bądź komornika.</w:t>
      </w:r>
    </w:p>
    <w:p w:rsidR="005E5CA3" w:rsidRPr="00394B84" w:rsidRDefault="009B70C0" w:rsidP="005E5CA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E5CA3">
        <w:rPr>
          <w:rFonts w:ascii="Times New Roman" w:eastAsia="Calibri" w:hAnsi="Times New Roman" w:cs="Times New Roman"/>
          <w:sz w:val="24"/>
          <w:szCs w:val="24"/>
        </w:rPr>
        <w:t xml:space="preserve">W przypadku gdy </w:t>
      </w:r>
      <w:r w:rsidR="005E5CA3" w:rsidRPr="00394B84">
        <w:rPr>
          <w:rFonts w:ascii="Times New Roman" w:eastAsia="Calibri" w:hAnsi="Times New Roman" w:cs="Times New Roman"/>
          <w:sz w:val="24"/>
          <w:szCs w:val="24"/>
        </w:rPr>
        <w:t>przedmiot zastawu rejestrowego, z którego wierzyciel może się zaspokoić przez jego przejęcie na własność, znajduje się we władaniu syndyka</w:t>
      </w:r>
      <w:r w:rsidR="005E5CA3">
        <w:rPr>
          <w:rFonts w:ascii="Times New Roman" w:eastAsia="Calibri" w:hAnsi="Times New Roman" w:cs="Times New Roman"/>
          <w:sz w:val="24"/>
          <w:szCs w:val="24"/>
        </w:rPr>
        <w:t>, wówczas</w:t>
      </w:r>
      <w:r w:rsidR="005E5CA3" w:rsidRPr="00394B84">
        <w:rPr>
          <w:rFonts w:ascii="Times New Roman" w:eastAsia="Calibri" w:hAnsi="Times New Roman" w:cs="Times New Roman"/>
          <w:sz w:val="24"/>
          <w:szCs w:val="24"/>
        </w:rPr>
        <w:t xml:space="preserve"> </w:t>
      </w:r>
      <w:r w:rsidR="005E5CA3">
        <w:rPr>
          <w:rFonts w:ascii="Times New Roman" w:eastAsia="Calibri" w:hAnsi="Times New Roman" w:cs="Times New Roman"/>
          <w:sz w:val="24"/>
          <w:szCs w:val="24"/>
        </w:rPr>
        <w:t>z mocy art. 328 ust. 1 PU</w:t>
      </w:r>
      <w:r w:rsidR="005E5CA3" w:rsidRPr="00394B84">
        <w:rPr>
          <w:rFonts w:ascii="Times New Roman" w:eastAsia="Calibri" w:hAnsi="Times New Roman" w:cs="Times New Roman"/>
          <w:sz w:val="24"/>
          <w:szCs w:val="24"/>
        </w:rPr>
        <w:t xml:space="preserve">, sędzia-komisarz wyznacza zastawnikowi nie krótszy niż jeden miesiąc termin do wykonania tego prawa. W przypadku, gdy zastawnik chce skorzystać z możliwości zaspokojenia się w drodze przejęcia przedmiotu zastawu na własność powinien w wyznaczonym przez sędziego-komisarza terminie złożyć syndykowi przewidziane w art. 22 ust. 2 UZR oświadczenie na piśmie o przejęciu przedmiotu zastawu na własność, a syndyk powinien przedmiot ten mu wydać. </w:t>
      </w:r>
    </w:p>
    <w:p w:rsidR="005E5CA3" w:rsidRDefault="005E5CA3" w:rsidP="005E5CA3">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Niezłożenie przez zastawnika w wyznaczonym terminie oświadczenia o przejęciu przedmiotu zastawu rejestrowego na własność, powoduje, że pomimo postanowień umowy zastawniczej, jego zaspokojenie w postępowaniu upadłościowym poprzez przejęcie przedmiotu zastawu na własność staje się niedopuszczalne, nie powoduje to jednak wygaśnięcia samego zastawu, ani nie niweczy przysługującego zastawnikowi prawa odrębności przy zaspokojeniu z sumy uzyskanej z likwidacji obciążonego składnika masy upadłości. Przedmiot zabezpieczenia podlega sprzedaży przez syndyka, w trybie przewidzianym przepisami PU, a wierzytelność zabezpieczona zastawem rejestrowym, w myśl domin</w:t>
      </w:r>
      <w:r>
        <w:rPr>
          <w:rFonts w:ascii="Times New Roman" w:eastAsia="Calibri" w:hAnsi="Times New Roman" w:cs="Times New Roman"/>
          <w:sz w:val="24"/>
          <w:szCs w:val="24"/>
        </w:rPr>
        <w:t>ującego w doktrynie stanowiska</w:t>
      </w:r>
      <w:r w:rsidRPr="00394B84">
        <w:rPr>
          <w:rFonts w:ascii="Times New Roman" w:eastAsia="Calibri" w:hAnsi="Times New Roman" w:cs="Times New Roman"/>
          <w:sz w:val="24"/>
          <w:szCs w:val="24"/>
        </w:rPr>
        <w:t>, korzysta z pierwszeństwa zaspokojenia z sumy uzyskanej ze sprzedaży obciążonego przedmiotu zgodnie z prawem odrębności.</w:t>
      </w:r>
    </w:p>
    <w:p w:rsidR="009B70C0" w:rsidRDefault="005E5CA3" w:rsidP="00091A34">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t>Odmiennie natomiast uregulowana została sytuacja, gdy zastawnik rejestrowy, w myśl postanowień umowy zastawniczej, może zostać zaspokojony z przedmiotu zastawu w trybie art. 24 UZR i przedmiot ten znajduje się we władaniu synd</w:t>
      </w:r>
      <w:r>
        <w:rPr>
          <w:rFonts w:ascii="Times New Roman" w:eastAsia="Calibri" w:hAnsi="Times New Roman" w:cs="Times New Roman"/>
          <w:sz w:val="24"/>
          <w:szCs w:val="24"/>
        </w:rPr>
        <w:t>yka. Na mocy art. 328 ust. 2 PU</w:t>
      </w:r>
      <w:r w:rsidRPr="00394B84">
        <w:rPr>
          <w:rFonts w:ascii="Times New Roman" w:eastAsia="Calibri" w:hAnsi="Times New Roman" w:cs="Times New Roman"/>
          <w:sz w:val="24"/>
          <w:szCs w:val="24"/>
        </w:rPr>
        <w:t>, jeżeli rzecz obciążona zastawem rejestrowym znajduje się we władaniu syndyka, a umowa zastawnicza przewiduje zaspokojenie zastawnika w trybie określonym w art. 24 UZR, to syndyk dokonuje sprzedaży ta</w:t>
      </w:r>
      <w:r>
        <w:rPr>
          <w:rFonts w:ascii="Times New Roman" w:eastAsia="Calibri" w:hAnsi="Times New Roman" w:cs="Times New Roman"/>
          <w:sz w:val="24"/>
          <w:szCs w:val="24"/>
        </w:rPr>
        <w:t>kiej rzeczy według przepisów PU</w:t>
      </w:r>
      <w:r w:rsidRPr="00394B84">
        <w:rPr>
          <w:rFonts w:ascii="Times New Roman" w:eastAsia="Calibri" w:hAnsi="Times New Roman" w:cs="Times New Roman"/>
          <w:sz w:val="24"/>
          <w:szCs w:val="24"/>
        </w:rPr>
        <w:t xml:space="preserve">. Przepis ten wyłącza zatem w takiej sytuacji możliwość skorzystania przez zastawnika rejestrowego z prawa do </w:t>
      </w:r>
      <w:r w:rsidRPr="00394B84">
        <w:rPr>
          <w:rFonts w:ascii="Times New Roman" w:eastAsia="Calibri" w:hAnsi="Times New Roman" w:cs="Times New Roman"/>
          <w:sz w:val="24"/>
          <w:szCs w:val="24"/>
        </w:rPr>
        <w:lastRenderedPageBreak/>
        <w:t>zaspokojenia się z przedmiotu zastawu w trybie przewidzianym w art. 24 UZR. Zastawnikowi przysługuje natomiast pierwszeństwo w zaspokojeniu z sumy uzyskanej ze sprzedaży, na zasadach przewidzianych w art</w:t>
      </w:r>
      <w:r>
        <w:rPr>
          <w:rFonts w:ascii="Times New Roman" w:eastAsia="Calibri" w:hAnsi="Times New Roman" w:cs="Times New Roman"/>
          <w:sz w:val="24"/>
          <w:szCs w:val="24"/>
        </w:rPr>
        <w:t>. 336 i 340 PU</w:t>
      </w:r>
      <w:r w:rsidRPr="00394B84">
        <w:rPr>
          <w:rFonts w:ascii="Times New Roman" w:eastAsia="Calibri" w:hAnsi="Times New Roman" w:cs="Times New Roman"/>
          <w:sz w:val="24"/>
          <w:szCs w:val="24"/>
        </w:rPr>
        <w:t>, a zatem w oparciu o prawo odrębności.</w:t>
      </w:r>
    </w:p>
    <w:p w:rsidR="00B45C68" w:rsidRPr="00394B84" w:rsidRDefault="00B45C68" w:rsidP="00091A3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A0FF2">
        <w:rPr>
          <w:rFonts w:ascii="Times New Roman" w:eastAsia="Calibri" w:hAnsi="Times New Roman" w:cs="Times New Roman"/>
          <w:sz w:val="24"/>
          <w:szCs w:val="24"/>
        </w:rPr>
        <w:t xml:space="preserve">Zgodnie z </w:t>
      </w:r>
      <w:r w:rsidRPr="00394B84">
        <w:rPr>
          <w:rFonts w:ascii="Times New Roman" w:eastAsia="Calibri" w:hAnsi="Times New Roman" w:cs="Times New Roman"/>
          <w:sz w:val="24"/>
          <w:szCs w:val="24"/>
        </w:rPr>
        <w:t>art. 329</w:t>
      </w:r>
      <w:r w:rsidR="009A0FF2">
        <w:rPr>
          <w:rFonts w:ascii="Times New Roman" w:eastAsia="Calibri" w:hAnsi="Times New Roman" w:cs="Times New Roman"/>
          <w:sz w:val="24"/>
          <w:szCs w:val="24"/>
        </w:rPr>
        <w:t xml:space="preserve"> PU</w:t>
      </w:r>
      <w:r w:rsidRPr="00394B84">
        <w:rPr>
          <w:rFonts w:ascii="Times New Roman" w:eastAsia="Calibri" w:hAnsi="Times New Roman" w:cs="Times New Roman"/>
          <w:sz w:val="24"/>
          <w:szCs w:val="24"/>
        </w:rPr>
        <w:t xml:space="preserve"> w przypadkach, o których mowa w art. 327 i 328 PUN, zastawnik jest obowiązany rozliczyć się z syndykiem stosownie do przepisów UZR. Kwota nadwyżki zasila przy tym fundusze masy upadłości. Obowiązek rozliczenia się istnieje również w przypadku, gdy wartość przejętego przez zastawnika przedmiotu zastawu rejestrowego lub uzyskana z jego sprzedaży w trybie art. 24 UZR kwota jest mniejsza niż wysokość wierzytelności zastawnika. Zastawnik powinien wówczas w rozliczeniu wykazać syndykowi jaka część jego wierzytelności została w ten sposób zaspokojona, albowiem gdy zastawnik jest równocześnie wierzycielem osobistym upadłego, niezaspokojona z przedmiotu zabezpieczenia część jego wierzytelności,</w:t>
      </w:r>
      <w:r w:rsidR="009A0FF2">
        <w:rPr>
          <w:rFonts w:ascii="Times New Roman" w:eastAsia="Calibri" w:hAnsi="Times New Roman" w:cs="Times New Roman"/>
          <w:sz w:val="24"/>
          <w:szCs w:val="24"/>
        </w:rPr>
        <w:t xml:space="preserve"> będzie w oparciu o art. 340 PU</w:t>
      </w:r>
      <w:r w:rsidRPr="00394B84">
        <w:rPr>
          <w:rFonts w:ascii="Times New Roman" w:eastAsia="Calibri" w:hAnsi="Times New Roman" w:cs="Times New Roman"/>
          <w:sz w:val="24"/>
          <w:szCs w:val="24"/>
        </w:rPr>
        <w:t xml:space="preserve"> podlegała zaspokojeniu na zasadach ogólnych w ramach podziału funduszów masy upadłości. W przypadku natomiast, gdy jest on jedynie wierzycielem rzeczowym upadłego, może on ewentualnie dochodzić zaspokojenia pozostałej części swojej wierzytelności w drodze sądowego postępowania egzekucyjnego prowadzonego przeciwko swojemu dłużnikowi osobistemu, natomiast nie przysługują mu już z tego tytułu roszczenia w stosunku do masy upadłości.   </w:t>
      </w:r>
    </w:p>
    <w:p w:rsidR="00091A34" w:rsidRDefault="00BB2990" w:rsidP="00394B8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94B84">
        <w:rPr>
          <w:rFonts w:ascii="Times New Roman" w:eastAsia="Calibri" w:hAnsi="Times New Roman" w:cs="Times New Roman"/>
          <w:sz w:val="24"/>
          <w:szCs w:val="24"/>
        </w:rPr>
        <w:t>Należy zaznaczyć, że jeżeli przedmiot obciążony zastawem rejestrowym jest składnikiem przedsiębiorstwa upadłego i jego sprzedaż wraz z przedsiębiorstwem może być korzystniejsza niż oddzielna sprzedaż przedmiotu zastawu, wów</w:t>
      </w:r>
      <w:r>
        <w:rPr>
          <w:rFonts w:ascii="Times New Roman" w:eastAsia="Calibri" w:hAnsi="Times New Roman" w:cs="Times New Roman"/>
          <w:sz w:val="24"/>
          <w:szCs w:val="24"/>
        </w:rPr>
        <w:t>czas, z mocy art. 330 ust. 1 PU</w:t>
      </w:r>
      <w:r w:rsidRPr="00394B84">
        <w:rPr>
          <w:rFonts w:ascii="Times New Roman" w:eastAsia="Calibri" w:hAnsi="Times New Roman" w:cs="Times New Roman"/>
          <w:sz w:val="24"/>
          <w:szCs w:val="24"/>
        </w:rPr>
        <w:t xml:space="preserve"> regulacji zawartych w art. 327 i 328 tej ustawy nie stosuje się. W takim przypadk</w:t>
      </w:r>
      <w:r>
        <w:rPr>
          <w:rFonts w:ascii="Times New Roman" w:eastAsia="Calibri" w:hAnsi="Times New Roman" w:cs="Times New Roman"/>
          <w:sz w:val="24"/>
          <w:szCs w:val="24"/>
        </w:rPr>
        <w:t>u, zgodnie z art. 330 ust. 2 PU</w:t>
      </w:r>
      <w:r w:rsidRPr="00394B84">
        <w:rPr>
          <w:rFonts w:ascii="Times New Roman" w:eastAsia="Calibri" w:hAnsi="Times New Roman" w:cs="Times New Roman"/>
          <w:sz w:val="24"/>
          <w:szCs w:val="24"/>
        </w:rPr>
        <w:t xml:space="preserve"> przedmiot zastawu zostaje zbyty przez syndyka wraz z całym przedsiębiorstwem upadłego, a z ceny sprzedaży wyodrębniana jest wartość rzeczy obciążonej zastawem rejestrowym i przeznaczana na zaspokojenie zastawnika na zasadach przewid</w:t>
      </w:r>
      <w:r w:rsidR="009A0FF2">
        <w:rPr>
          <w:rFonts w:ascii="Times New Roman" w:eastAsia="Calibri" w:hAnsi="Times New Roman" w:cs="Times New Roman"/>
          <w:sz w:val="24"/>
          <w:szCs w:val="24"/>
        </w:rPr>
        <w:t>zianych w art. 336 PU</w:t>
      </w:r>
      <w:r>
        <w:rPr>
          <w:rFonts w:ascii="Times New Roman" w:eastAsia="Calibri" w:hAnsi="Times New Roman" w:cs="Times New Roman"/>
          <w:sz w:val="24"/>
          <w:szCs w:val="24"/>
        </w:rPr>
        <w:t xml:space="preserve"> i 340 PU</w:t>
      </w:r>
      <w:r w:rsidRPr="00394B84">
        <w:rPr>
          <w:rFonts w:ascii="Times New Roman" w:eastAsia="Calibri" w:hAnsi="Times New Roman" w:cs="Times New Roman"/>
          <w:sz w:val="24"/>
          <w:szCs w:val="24"/>
        </w:rPr>
        <w:t xml:space="preserve">, a zatem z zachowaniem prawa odrębności. Przepis ten stanowi zatem </w:t>
      </w:r>
      <w:proofErr w:type="spellStart"/>
      <w:r w:rsidRPr="00394B84">
        <w:rPr>
          <w:rFonts w:ascii="Times New Roman" w:eastAsia="Calibri" w:hAnsi="Times New Roman" w:cs="Times New Roman"/>
          <w:i/>
          <w:sz w:val="24"/>
          <w:szCs w:val="24"/>
        </w:rPr>
        <w:t>lex</w:t>
      </w:r>
      <w:proofErr w:type="spellEnd"/>
      <w:r w:rsidRPr="00394B84">
        <w:rPr>
          <w:rFonts w:ascii="Times New Roman" w:eastAsia="Calibri" w:hAnsi="Times New Roman" w:cs="Times New Roman"/>
          <w:i/>
          <w:sz w:val="24"/>
          <w:szCs w:val="24"/>
        </w:rPr>
        <w:t xml:space="preserve"> </w:t>
      </w:r>
      <w:proofErr w:type="spellStart"/>
      <w:r w:rsidRPr="00394B84">
        <w:rPr>
          <w:rFonts w:ascii="Times New Roman" w:eastAsia="Calibri" w:hAnsi="Times New Roman" w:cs="Times New Roman"/>
          <w:i/>
          <w:sz w:val="24"/>
          <w:szCs w:val="24"/>
        </w:rPr>
        <w:t>specialis</w:t>
      </w:r>
      <w:proofErr w:type="spellEnd"/>
      <w:r w:rsidRPr="00394B84">
        <w:rPr>
          <w:rFonts w:ascii="Times New Roman" w:eastAsia="Calibri" w:hAnsi="Times New Roman" w:cs="Times New Roman"/>
          <w:sz w:val="24"/>
          <w:szCs w:val="24"/>
        </w:rPr>
        <w:t xml:space="preserve"> w stosunku do omawianych regulacji zawartych w art. 327 i 328 </w:t>
      </w:r>
      <w:r w:rsidR="009A0FF2">
        <w:rPr>
          <w:rFonts w:ascii="Times New Roman" w:eastAsia="Calibri" w:hAnsi="Times New Roman" w:cs="Times New Roman"/>
          <w:sz w:val="24"/>
          <w:szCs w:val="24"/>
        </w:rPr>
        <w:t xml:space="preserve"> </w:t>
      </w:r>
      <w:r w:rsidRPr="00394B84">
        <w:rPr>
          <w:rFonts w:ascii="Times New Roman" w:eastAsia="Calibri" w:hAnsi="Times New Roman" w:cs="Times New Roman"/>
          <w:sz w:val="24"/>
          <w:szCs w:val="24"/>
        </w:rPr>
        <w:t>PU, umożliwiających zaspokojenie zastawnika rejestrowego w sposób przewidziany w umowie zastawniczej</w:t>
      </w:r>
      <w:r>
        <w:rPr>
          <w:rFonts w:ascii="Times New Roman" w:eastAsia="Calibri" w:hAnsi="Times New Roman" w:cs="Times New Roman"/>
          <w:sz w:val="24"/>
          <w:szCs w:val="24"/>
        </w:rPr>
        <w:t>.</w:t>
      </w:r>
    </w:p>
    <w:p w:rsidR="00091A34" w:rsidRDefault="00091A34" w:rsidP="00394B8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Zgodnie z art. 333 ust. 2 PU</w:t>
      </w:r>
      <w:r w:rsidR="00394B84" w:rsidRPr="00394B84">
        <w:rPr>
          <w:rFonts w:ascii="Times New Roman" w:eastAsia="Calibri" w:hAnsi="Times New Roman" w:cs="Times New Roman"/>
          <w:sz w:val="24"/>
          <w:szCs w:val="24"/>
        </w:rPr>
        <w:t xml:space="preserve">, przepis art. 327 ust. 1 PU znajduje odpowiednie zastosowanie również w przypadku likwidacji wierzytelności i praw majątkowych upadłego obciążonych zastawem finansowym. W szczególności uwzględnić należy art. 10 ust. 1 </w:t>
      </w:r>
      <w:r>
        <w:rPr>
          <w:rFonts w:ascii="Times New Roman" w:eastAsia="Calibri" w:hAnsi="Times New Roman" w:cs="Times New Roman"/>
          <w:sz w:val="24"/>
          <w:szCs w:val="24"/>
        </w:rPr>
        <w:t>ustawy z dnia 2 kwietnia 2004 o niektórych zabezpieczeniach finansowych (</w:t>
      </w:r>
      <w:proofErr w:type="spellStart"/>
      <w:r>
        <w:rPr>
          <w:rFonts w:ascii="Times New Roman" w:eastAsia="Calibri" w:hAnsi="Times New Roman" w:cs="Times New Roman"/>
          <w:sz w:val="24"/>
          <w:szCs w:val="24"/>
        </w:rPr>
        <w:t>UoZF</w:t>
      </w:r>
      <w:proofErr w:type="spellEnd"/>
      <w:r>
        <w:rPr>
          <w:rFonts w:ascii="Times New Roman" w:eastAsia="Calibri" w:hAnsi="Times New Roman" w:cs="Times New Roman"/>
          <w:sz w:val="24"/>
          <w:szCs w:val="24"/>
        </w:rPr>
        <w:t>)</w:t>
      </w:r>
      <w:r w:rsidR="00394B84" w:rsidRPr="00394B84">
        <w:rPr>
          <w:rFonts w:ascii="Times New Roman" w:eastAsia="Calibri" w:hAnsi="Times New Roman" w:cs="Times New Roman"/>
          <w:sz w:val="24"/>
          <w:szCs w:val="24"/>
        </w:rPr>
        <w:t xml:space="preserve">, dopuszczający zaspokojenie zastawnika przez przejęcie przedmiotu zabezpieczenia, jeżeli tak stanowi </w:t>
      </w:r>
      <w:r w:rsidR="00394B84" w:rsidRPr="00394B84">
        <w:rPr>
          <w:rFonts w:ascii="Times New Roman" w:eastAsia="Calibri" w:hAnsi="Times New Roman" w:cs="Times New Roman"/>
          <w:sz w:val="24"/>
          <w:szCs w:val="24"/>
        </w:rPr>
        <w:lastRenderedPageBreak/>
        <w:t>umowa o ustanowienie zastawu finansowego, co odpowiada jednemu ze sposobów zaspokojenia zastawnika w postępowaniu upadłościowym, prze</w:t>
      </w:r>
      <w:r>
        <w:rPr>
          <w:rFonts w:ascii="Times New Roman" w:eastAsia="Calibri" w:hAnsi="Times New Roman" w:cs="Times New Roman"/>
          <w:sz w:val="24"/>
          <w:szCs w:val="24"/>
        </w:rPr>
        <w:t>widzianych w art. 327 ust. 1 PU</w:t>
      </w:r>
      <w:r w:rsidR="00394B84" w:rsidRPr="00394B84">
        <w:rPr>
          <w:rFonts w:ascii="Times New Roman" w:eastAsia="Calibri" w:hAnsi="Times New Roman" w:cs="Times New Roman"/>
          <w:sz w:val="24"/>
          <w:szCs w:val="24"/>
        </w:rPr>
        <w:t xml:space="preserve"> (przez przejęcie przedmiotu zastawu na własność). Nie można natomiast, </w:t>
      </w:r>
      <w:r>
        <w:rPr>
          <w:rFonts w:ascii="Times New Roman" w:eastAsia="Calibri" w:hAnsi="Times New Roman" w:cs="Times New Roman"/>
          <w:sz w:val="24"/>
          <w:szCs w:val="24"/>
        </w:rPr>
        <w:t xml:space="preserve">moim </w:t>
      </w:r>
      <w:r w:rsidR="00394B84" w:rsidRPr="00394B84">
        <w:rPr>
          <w:rFonts w:ascii="Times New Roman" w:eastAsia="Calibri" w:hAnsi="Times New Roman" w:cs="Times New Roman"/>
          <w:sz w:val="24"/>
          <w:szCs w:val="24"/>
        </w:rPr>
        <w:t xml:space="preserve">zdaniem zastosować w postępowaniu upadłościowym innych, przewidzianych w przepisach </w:t>
      </w:r>
      <w:proofErr w:type="spellStart"/>
      <w:r w:rsidR="00394B84" w:rsidRPr="00394B84">
        <w:rPr>
          <w:rFonts w:ascii="Times New Roman" w:eastAsia="Calibri" w:hAnsi="Times New Roman" w:cs="Times New Roman"/>
          <w:sz w:val="24"/>
          <w:szCs w:val="24"/>
        </w:rPr>
        <w:t>UoZF</w:t>
      </w:r>
      <w:proofErr w:type="spellEnd"/>
      <w:r w:rsidR="00394B84" w:rsidRPr="00394B84">
        <w:rPr>
          <w:rFonts w:ascii="Times New Roman" w:eastAsia="Calibri" w:hAnsi="Times New Roman" w:cs="Times New Roman"/>
          <w:sz w:val="24"/>
          <w:szCs w:val="24"/>
        </w:rPr>
        <w:t xml:space="preserve"> szczególnych sposobów zaspokojenia zastawnika z przedmiotu zastawu finansowego, albowiem nie zostały one wymienione w art. 327 ust. 1 P</w:t>
      </w:r>
      <w:r>
        <w:rPr>
          <w:rFonts w:ascii="Times New Roman" w:eastAsia="Calibri" w:hAnsi="Times New Roman" w:cs="Times New Roman"/>
          <w:sz w:val="24"/>
          <w:szCs w:val="24"/>
        </w:rPr>
        <w:t>U</w:t>
      </w:r>
      <w:r w:rsidR="00394B84" w:rsidRPr="00394B84">
        <w:rPr>
          <w:rFonts w:ascii="Times New Roman" w:eastAsia="Calibri" w:hAnsi="Times New Roman" w:cs="Times New Roman"/>
          <w:sz w:val="24"/>
          <w:szCs w:val="24"/>
        </w:rPr>
        <w:t>.</w:t>
      </w:r>
    </w:p>
    <w:p w:rsidR="005E5CA3" w:rsidRDefault="005E5CA3" w:rsidP="00394B84">
      <w:pPr>
        <w:spacing w:after="0" w:line="360" w:lineRule="auto"/>
        <w:jc w:val="both"/>
        <w:rPr>
          <w:rFonts w:ascii="Times New Roman" w:eastAsia="Calibri" w:hAnsi="Times New Roman" w:cs="Times New Roman"/>
          <w:sz w:val="24"/>
          <w:szCs w:val="24"/>
        </w:rPr>
      </w:pPr>
    </w:p>
    <w:p w:rsidR="00394B84" w:rsidRPr="00394B84" w:rsidRDefault="005E5CA3" w:rsidP="005E5CA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94B84" w:rsidRPr="00394B84">
        <w:rPr>
          <w:rFonts w:ascii="Times New Roman" w:eastAsia="Calibri" w:hAnsi="Times New Roman" w:cs="Times New Roman"/>
          <w:sz w:val="24"/>
          <w:szCs w:val="24"/>
        </w:rPr>
        <w:t xml:space="preserve"> </w:t>
      </w:r>
    </w:p>
    <w:p w:rsidR="0063562E" w:rsidRDefault="0063562E" w:rsidP="00BB2990">
      <w:pPr>
        <w:spacing w:after="0" w:line="360" w:lineRule="auto"/>
        <w:jc w:val="both"/>
        <w:rPr>
          <w:rFonts w:ascii="Times New Roman" w:eastAsia="Calibri" w:hAnsi="Times New Roman" w:cs="Times New Roman"/>
          <w:sz w:val="24"/>
          <w:szCs w:val="24"/>
        </w:rPr>
      </w:pPr>
    </w:p>
    <w:p w:rsidR="009E27C9" w:rsidRPr="005A1142" w:rsidRDefault="00394B84" w:rsidP="005A1142">
      <w:pPr>
        <w:spacing w:after="0" w:line="360" w:lineRule="auto"/>
        <w:jc w:val="both"/>
        <w:rPr>
          <w:rFonts w:ascii="Times New Roman" w:eastAsia="Calibri" w:hAnsi="Times New Roman" w:cs="Times New Roman"/>
          <w:sz w:val="24"/>
          <w:szCs w:val="24"/>
        </w:rPr>
      </w:pPr>
      <w:r w:rsidRPr="00394B84">
        <w:rPr>
          <w:rFonts w:ascii="Times New Roman" w:eastAsia="Calibri" w:hAnsi="Times New Roman" w:cs="Times New Roman"/>
          <w:sz w:val="24"/>
          <w:szCs w:val="24"/>
        </w:rPr>
        <w:tab/>
      </w:r>
    </w:p>
    <w:sectPr w:rsidR="009E27C9" w:rsidRPr="005A1142" w:rsidSect="00D27F3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59" w:rsidRDefault="00274659" w:rsidP="00394B84">
      <w:pPr>
        <w:spacing w:after="0" w:line="240" w:lineRule="auto"/>
      </w:pPr>
      <w:r>
        <w:separator/>
      </w:r>
    </w:p>
  </w:endnote>
  <w:endnote w:type="continuationSeparator" w:id="0">
    <w:p w:rsidR="00274659" w:rsidRDefault="00274659" w:rsidP="00394B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ZapfCalligrPL">
    <w:altName w:val="Times New Roman"/>
    <w:panose1 w:val="00000000000000000000"/>
    <w:charset w:val="02"/>
    <w:family w:val="decorative"/>
    <w:notTrueType/>
    <w:pitch w:val="variable"/>
    <w:sig w:usb0="00000003" w:usb1="00000000" w:usb2="00000000" w:usb3="00000000" w:csb0="00000001" w:csb1="00000000"/>
  </w:font>
  <w:font w:name="EFN Bureau">
    <w:altName w:val="Courier New"/>
    <w:panose1 w:val="00000000000000000000"/>
    <w:charset w:val="EE"/>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337688"/>
      <w:docPartObj>
        <w:docPartGallery w:val="Page Numbers (Bottom of Page)"/>
        <w:docPartUnique/>
      </w:docPartObj>
    </w:sdtPr>
    <w:sdtContent>
      <w:p w:rsidR="005A1142" w:rsidRDefault="00B90F33">
        <w:pPr>
          <w:pStyle w:val="Stopka"/>
          <w:jc w:val="right"/>
        </w:pPr>
        <w:fldSimple w:instr=" PAGE   \* MERGEFORMAT ">
          <w:r w:rsidR="005C4C1C">
            <w:rPr>
              <w:noProof/>
            </w:rPr>
            <w:t>18</w:t>
          </w:r>
        </w:fldSimple>
      </w:p>
    </w:sdtContent>
  </w:sdt>
  <w:p w:rsidR="005A1142" w:rsidRDefault="005A114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59" w:rsidRDefault="00274659" w:rsidP="00394B84">
      <w:pPr>
        <w:spacing w:after="0" w:line="240" w:lineRule="auto"/>
      </w:pPr>
      <w:r>
        <w:separator/>
      </w:r>
    </w:p>
  </w:footnote>
  <w:footnote w:type="continuationSeparator" w:id="0">
    <w:p w:rsidR="00274659" w:rsidRDefault="00274659" w:rsidP="00394B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4CF7"/>
    <w:multiLevelType w:val="hybridMultilevel"/>
    <w:tmpl w:val="DF7C317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865110"/>
    <w:multiLevelType w:val="hybridMultilevel"/>
    <w:tmpl w:val="21425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C0900"/>
    <w:multiLevelType w:val="hybridMultilevel"/>
    <w:tmpl w:val="CF7ECC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353D44"/>
    <w:multiLevelType w:val="hybridMultilevel"/>
    <w:tmpl w:val="6CDCB1B8"/>
    <w:lvl w:ilvl="0" w:tplc="0415000F">
      <w:start w:val="1"/>
      <w:numFmt w:val="decimal"/>
      <w:lvlText w:val="%1."/>
      <w:lvlJc w:val="left"/>
      <w:pPr>
        <w:ind w:left="1080" w:hanging="360"/>
      </w:pPr>
    </w:lvl>
    <w:lvl w:ilvl="1" w:tplc="8464502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F5B4462"/>
    <w:multiLevelType w:val="hybridMultilevel"/>
    <w:tmpl w:val="658E7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424945"/>
    <w:multiLevelType w:val="hybridMultilevel"/>
    <w:tmpl w:val="1EE21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B04DD8"/>
    <w:multiLevelType w:val="hybridMultilevel"/>
    <w:tmpl w:val="3A821782"/>
    <w:lvl w:ilvl="0" w:tplc="8F7E57D0">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321096"/>
    <w:multiLevelType w:val="hybridMultilevel"/>
    <w:tmpl w:val="2072F7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B83291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DD2EDE"/>
    <w:multiLevelType w:val="multilevel"/>
    <w:tmpl w:val="0D6E8C0C"/>
    <w:lvl w:ilvl="0">
      <w:start w:val="1"/>
      <w:numFmt w:val="decimal"/>
      <w:lvlText w:val="%1)"/>
      <w:lvlJc w:val="left"/>
      <w:pPr>
        <w:ind w:left="1070" w:hanging="360"/>
      </w:pPr>
    </w:lvl>
    <w:lvl w:ilvl="1">
      <w:start w:val="1"/>
      <w:numFmt w:val="lowerLetter"/>
      <w:lvlText w:val="%2)"/>
      <w:lvlJc w:val="left"/>
      <w:pPr>
        <w:ind w:left="1430" w:hanging="360"/>
      </w:pPr>
    </w:lvl>
    <w:lvl w:ilvl="2">
      <w:start w:val="1"/>
      <w:numFmt w:val="lowerLetter"/>
      <w:lvlText w:val="%3)"/>
      <w:lvlJc w:val="left"/>
      <w:pPr>
        <w:ind w:left="1790" w:hanging="360"/>
      </w:pPr>
    </w:lvl>
    <w:lvl w:ilvl="3">
      <w:start w:val="1"/>
      <w:numFmt w:val="decimal"/>
      <w:lvlText w:val="(%4)"/>
      <w:lvlJc w:val="left"/>
      <w:pPr>
        <w:ind w:left="2150" w:hanging="360"/>
      </w:pPr>
    </w:lvl>
    <w:lvl w:ilvl="4">
      <w:start w:val="1"/>
      <w:numFmt w:val="lowerLetter"/>
      <w:lvlText w:val="%5)"/>
      <w:lvlJc w:val="left"/>
      <w:pPr>
        <w:ind w:left="2510" w:hanging="360"/>
      </w:pPr>
    </w:lvl>
    <w:lvl w:ilvl="5">
      <w:start w:val="1"/>
      <w:numFmt w:val="lowerRoman"/>
      <w:lvlText w:val="(%6)"/>
      <w:lvlJc w:val="left"/>
      <w:pPr>
        <w:ind w:left="2870" w:hanging="360"/>
      </w:pPr>
    </w:lvl>
    <w:lvl w:ilvl="6">
      <w:start w:val="1"/>
      <w:numFmt w:val="decimal"/>
      <w:lvlText w:val="%7."/>
      <w:lvlJc w:val="left"/>
      <w:pPr>
        <w:ind w:left="3230" w:hanging="360"/>
      </w:pPr>
    </w:lvl>
    <w:lvl w:ilvl="7">
      <w:start w:val="1"/>
      <w:numFmt w:val="lowerLetter"/>
      <w:lvlText w:val="%8."/>
      <w:lvlJc w:val="left"/>
      <w:pPr>
        <w:ind w:left="3590" w:hanging="360"/>
      </w:pPr>
    </w:lvl>
    <w:lvl w:ilvl="8">
      <w:start w:val="1"/>
      <w:numFmt w:val="lowerRoman"/>
      <w:lvlText w:val="%9."/>
      <w:lvlJc w:val="left"/>
      <w:pPr>
        <w:ind w:left="3950" w:hanging="360"/>
      </w:pPr>
    </w:lvl>
  </w:abstractNum>
  <w:abstractNum w:abstractNumId="10">
    <w:nsid w:val="1C8B4821"/>
    <w:multiLevelType w:val="hybridMultilevel"/>
    <w:tmpl w:val="BEFA0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AD110F"/>
    <w:multiLevelType w:val="hybridMultilevel"/>
    <w:tmpl w:val="3FAAC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1F43E0A"/>
    <w:multiLevelType w:val="hybridMultilevel"/>
    <w:tmpl w:val="9FA060C6"/>
    <w:lvl w:ilvl="0" w:tplc="0415000F">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3">
    <w:nsid w:val="23BD48BE"/>
    <w:multiLevelType w:val="hybridMultilevel"/>
    <w:tmpl w:val="D40444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783FB2"/>
    <w:multiLevelType w:val="hybridMultilevel"/>
    <w:tmpl w:val="563A632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A27121"/>
    <w:multiLevelType w:val="hybridMultilevel"/>
    <w:tmpl w:val="981E5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38702B"/>
    <w:multiLevelType w:val="hybridMultilevel"/>
    <w:tmpl w:val="D78CC3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EB23F4"/>
    <w:multiLevelType w:val="hybridMultilevel"/>
    <w:tmpl w:val="A9548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2305EB"/>
    <w:multiLevelType w:val="hybridMultilevel"/>
    <w:tmpl w:val="CA0EF5B8"/>
    <w:lvl w:ilvl="0" w:tplc="04150017">
      <w:start w:val="1"/>
      <w:numFmt w:val="lowerLetter"/>
      <w:lvlText w:val="%1)"/>
      <w:lvlJc w:val="left"/>
      <w:pPr>
        <w:ind w:left="1065" w:hanging="705"/>
      </w:pPr>
      <w:rPr>
        <w:rFonts w:hint="default"/>
      </w:rPr>
    </w:lvl>
    <w:lvl w:ilvl="1" w:tplc="22D6C3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B72C49"/>
    <w:multiLevelType w:val="hybridMultilevel"/>
    <w:tmpl w:val="D0FCF66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E57D7A"/>
    <w:multiLevelType w:val="hybridMultilevel"/>
    <w:tmpl w:val="EA569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35D402B"/>
    <w:multiLevelType w:val="hybridMultilevel"/>
    <w:tmpl w:val="D220B9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nsid w:val="3399384B"/>
    <w:multiLevelType w:val="hybridMultilevel"/>
    <w:tmpl w:val="BD6A1908"/>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346EC1"/>
    <w:multiLevelType w:val="hybridMultilevel"/>
    <w:tmpl w:val="4E569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526E3A"/>
    <w:multiLevelType w:val="hybridMultilevel"/>
    <w:tmpl w:val="A0EE4250"/>
    <w:lvl w:ilvl="0" w:tplc="0415000F">
      <w:start w:val="1"/>
      <w:numFmt w:val="decimal"/>
      <w:lvlText w:val="%1."/>
      <w:lvlJc w:val="left"/>
      <w:pPr>
        <w:ind w:left="1080" w:hanging="360"/>
      </w:pPr>
    </w:lvl>
    <w:lvl w:ilvl="1" w:tplc="4EDE1DB4">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4FB5128"/>
    <w:multiLevelType w:val="hybridMultilevel"/>
    <w:tmpl w:val="40C4254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85C6C6C"/>
    <w:multiLevelType w:val="hybridMultilevel"/>
    <w:tmpl w:val="63E8425E"/>
    <w:lvl w:ilvl="0" w:tplc="8464502E">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944429"/>
    <w:multiLevelType w:val="hybridMultilevel"/>
    <w:tmpl w:val="B6521EB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39077AF8"/>
    <w:multiLevelType w:val="hybridMultilevel"/>
    <w:tmpl w:val="B6D46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3604FA"/>
    <w:multiLevelType w:val="hybridMultilevel"/>
    <w:tmpl w:val="46CEB4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B4D2F0F"/>
    <w:multiLevelType w:val="multilevel"/>
    <w:tmpl w:val="0D6E8C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3C4B5A62"/>
    <w:multiLevelType w:val="hybridMultilevel"/>
    <w:tmpl w:val="37225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BA2E3C"/>
    <w:multiLevelType w:val="hybridMultilevel"/>
    <w:tmpl w:val="A4BE909C"/>
    <w:lvl w:ilvl="0" w:tplc="BE345CB2">
      <w:start w:val="1"/>
      <w:numFmt w:val="decimal"/>
      <w:lvlText w:val="%1)"/>
      <w:lvlJc w:val="left"/>
      <w:pPr>
        <w:ind w:left="1085" w:hanging="375"/>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3">
    <w:nsid w:val="4BC22558"/>
    <w:multiLevelType w:val="hybridMultilevel"/>
    <w:tmpl w:val="9B080436"/>
    <w:lvl w:ilvl="0" w:tplc="0415000F">
      <w:start w:val="1"/>
      <w:numFmt w:val="decimal"/>
      <w:lvlText w:val="%1."/>
      <w:lvlJc w:val="left"/>
      <w:pPr>
        <w:ind w:left="720" w:hanging="360"/>
      </w:pPr>
    </w:lvl>
    <w:lvl w:ilvl="1" w:tplc="03D41D0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0E7397F"/>
    <w:multiLevelType w:val="hybridMultilevel"/>
    <w:tmpl w:val="644C1FB4"/>
    <w:lvl w:ilvl="0" w:tplc="0415000F">
      <w:start w:val="1"/>
      <w:numFmt w:val="decimal"/>
      <w:lvlText w:val="%1."/>
      <w:lvlJc w:val="left"/>
      <w:pPr>
        <w:ind w:left="720" w:hanging="360"/>
      </w:pPr>
    </w:lvl>
    <w:lvl w:ilvl="1" w:tplc="93D6E5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607B05"/>
    <w:multiLevelType w:val="hybridMultilevel"/>
    <w:tmpl w:val="8C9CD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56C3AC0"/>
    <w:multiLevelType w:val="hybridMultilevel"/>
    <w:tmpl w:val="3E2A2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7532F7C"/>
    <w:multiLevelType w:val="hybridMultilevel"/>
    <w:tmpl w:val="AF2C99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9A10889"/>
    <w:multiLevelType w:val="hybridMultilevel"/>
    <w:tmpl w:val="FD66FD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B2299D"/>
    <w:multiLevelType w:val="hybridMultilevel"/>
    <w:tmpl w:val="9F3E9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B80577"/>
    <w:multiLevelType w:val="hybridMultilevel"/>
    <w:tmpl w:val="B2223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09D12C9"/>
    <w:multiLevelType w:val="hybridMultilevel"/>
    <w:tmpl w:val="B352D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1D12FA3"/>
    <w:multiLevelType w:val="hybridMultilevel"/>
    <w:tmpl w:val="974840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4152AC2"/>
    <w:multiLevelType w:val="hybridMultilevel"/>
    <w:tmpl w:val="FF700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063927"/>
    <w:multiLevelType w:val="hybridMultilevel"/>
    <w:tmpl w:val="51E884FC"/>
    <w:lvl w:ilvl="0" w:tplc="1CA2CF1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CA6814"/>
    <w:multiLevelType w:val="hybridMultilevel"/>
    <w:tmpl w:val="48B26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16"/>
  </w:num>
  <w:num w:numId="4">
    <w:abstractNumId w:val="37"/>
  </w:num>
  <w:num w:numId="5">
    <w:abstractNumId w:val="18"/>
  </w:num>
  <w:num w:numId="6">
    <w:abstractNumId w:val="6"/>
  </w:num>
  <w:num w:numId="7">
    <w:abstractNumId w:val="24"/>
  </w:num>
  <w:num w:numId="8">
    <w:abstractNumId w:val="21"/>
  </w:num>
  <w:num w:numId="9">
    <w:abstractNumId w:val="35"/>
  </w:num>
  <w:num w:numId="10">
    <w:abstractNumId w:val="45"/>
  </w:num>
  <w:num w:numId="11">
    <w:abstractNumId w:val="33"/>
  </w:num>
  <w:num w:numId="12">
    <w:abstractNumId w:val="31"/>
  </w:num>
  <w:num w:numId="13">
    <w:abstractNumId w:val="34"/>
  </w:num>
  <w:num w:numId="14">
    <w:abstractNumId w:val="8"/>
  </w:num>
  <w:num w:numId="15">
    <w:abstractNumId w:val="12"/>
  </w:num>
  <w:num w:numId="16">
    <w:abstractNumId w:val="4"/>
  </w:num>
  <w:num w:numId="17">
    <w:abstractNumId w:val="10"/>
  </w:num>
  <w:num w:numId="18">
    <w:abstractNumId w:val="36"/>
  </w:num>
  <w:num w:numId="19">
    <w:abstractNumId w:val="30"/>
  </w:num>
  <w:num w:numId="20">
    <w:abstractNumId w:val="9"/>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2"/>
  </w:num>
  <w:num w:numId="24">
    <w:abstractNumId w:val="14"/>
  </w:num>
  <w:num w:numId="25">
    <w:abstractNumId w:val="7"/>
  </w:num>
  <w:num w:numId="26">
    <w:abstractNumId w:val="27"/>
  </w:num>
  <w:num w:numId="27">
    <w:abstractNumId w:val="43"/>
  </w:num>
  <w:num w:numId="28">
    <w:abstractNumId w:val="13"/>
  </w:num>
  <w:num w:numId="29">
    <w:abstractNumId w:val="2"/>
  </w:num>
  <w:num w:numId="30">
    <w:abstractNumId w:val="23"/>
  </w:num>
  <w:num w:numId="31">
    <w:abstractNumId w:val="40"/>
  </w:num>
  <w:num w:numId="32">
    <w:abstractNumId w:val="28"/>
  </w:num>
  <w:num w:numId="33">
    <w:abstractNumId w:val="44"/>
  </w:num>
  <w:num w:numId="34">
    <w:abstractNumId w:val="1"/>
  </w:num>
  <w:num w:numId="35">
    <w:abstractNumId w:val="32"/>
  </w:num>
  <w:num w:numId="36">
    <w:abstractNumId w:val="41"/>
  </w:num>
  <w:num w:numId="37">
    <w:abstractNumId w:val="19"/>
  </w:num>
  <w:num w:numId="38">
    <w:abstractNumId w:val="15"/>
  </w:num>
  <w:num w:numId="39">
    <w:abstractNumId w:val="17"/>
  </w:num>
  <w:num w:numId="40">
    <w:abstractNumId w:val="11"/>
  </w:num>
  <w:num w:numId="41">
    <w:abstractNumId w:val="38"/>
  </w:num>
  <w:num w:numId="42">
    <w:abstractNumId w:val="39"/>
  </w:num>
  <w:num w:numId="43">
    <w:abstractNumId w:val="25"/>
  </w:num>
  <w:num w:numId="44">
    <w:abstractNumId w:val="3"/>
  </w:num>
  <w:num w:numId="45">
    <w:abstractNumId w:val="0"/>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394B84"/>
    <w:rsid w:val="000422B9"/>
    <w:rsid w:val="00064AAD"/>
    <w:rsid w:val="00091A34"/>
    <w:rsid w:val="001569D6"/>
    <w:rsid w:val="00260559"/>
    <w:rsid w:val="00274659"/>
    <w:rsid w:val="002C0F9D"/>
    <w:rsid w:val="00316E88"/>
    <w:rsid w:val="00394B84"/>
    <w:rsid w:val="003C0635"/>
    <w:rsid w:val="00507D5E"/>
    <w:rsid w:val="005A1142"/>
    <w:rsid w:val="005B391C"/>
    <w:rsid w:val="005C4C1C"/>
    <w:rsid w:val="005C743F"/>
    <w:rsid w:val="005D5A52"/>
    <w:rsid w:val="005E5CA3"/>
    <w:rsid w:val="0063562E"/>
    <w:rsid w:val="007503F8"/>
    <w:rsid w:val="007D6DE9"/>
    <w:rsid w:val="0084259A"/>
    <w:rsid w:val="00843989"/>
    <w:rsid w:val="00877BDF"/>
    <w:rsid w:val="008E428C"/>
    <w:rsid w:val="009A0FF2"/>
    <w:rsid w:val="009A7B71"/>
    <w:rsid w:val="009B70C0"/>
    <w:rsid w:val="009E27C9"/>
    <w:rsid w:val="00A4107A"/>
    <w:rsid w:val="00A5544C"/>
    <w:rsid w:val="00AF0CF1"/>
    <w:rsid w:val="00B025F8"/>
    <w:rsid w:val="00B232C8"/>
    <w:rsid w:val="00B36B38"/>
    <w:rsid w:val="00B45C68"/>
    <w:rsid w:val="00B664E8"/>
    <w:rsid w:val="00B90F33"/>
    <w:rsid w:val="00BB2990"/>
    <w:rsid w:val="00BE7654"/>
    <w:rsid w:val="00C00C4D"/>
    <w:rsid w:val="00C21ACB"/>
    <w:rsid w:val="00C63150"/>
    <w:rsid w:val="00C72EA6"/>
    <w:rsid w:val="00D27F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F3F"/>
  </w:style>
  <w:style w:type="paragraph" w:styleId="Nagwek1">
    <w:name w:val="heading 1"/>
    <w:basedOn w:val="Normalny"/>
    <w:next w:val="Normalny"/>
    <w:link w:val="Nagwek1Znak"/>
    <w:uiPriority w:val="9"/>
    <w:qFormat/>
    <w:rsid w:val="00394B84"/>
    <w:pPr>
      <w:keepNext/>
      <w:spacing w:before="240" w:after="60" w:line="240" w:lineRule="auto"/>
      <w:outlineLvl w:val="0"/>
    </w:pPr>
    <w:rPr>
      <w:rFonts w:ascii="Cambria" w:eastAsia="Times New Roman" w:hAnsi="Cambria" w:cs="Times New Roman"/>
      <w:b/>
      <w:bCs/>
      <w:kern w:val="32"/>
      <w:sz w:val="32"/>
      <w:szCs w:val="3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4B84"/>
    <w:rPr>
      <w:rFonts w:ascii="Cambria" w:eastAsia="Times New Roman" w:hAnsi="Cambria" w:cs="Times New Roman"/>
      <w:b/>
      <w:bCs/>
      <w:kern w:val="32"/>
      <w:sz w:val="32"/>
      <w:szCs w:val="32"/>
    </w:rPr>
  </w:style>
  <w:style w:type="numbering" w:customStyle="1" w:styleId="Bezlisty1">
    <w:name w:val="Bez listy1"/>
    <w:next w:val="Bezlisty"/>
    <w:uiPriority w:val="99"/>
    <w:semiHidden/>
    <w:unhideWhenUsed/>
    <w:rsid w:val="00394B84"/>
  </w:style>
  <w:style w:type="character" w:styleId="Odwoaniedelikatne">
    <w:name w:val="Subtle Reference"/>
    <w:uiPriority w:val="31"/>
    <w:qFormat/>
    <w:rsid w:val="00394B84"/>
    <w:rPr>
      <w:rFonts w:ascii="Times New Roman" w:hAnsi="Times New Roman"/>
      <w:smallCaps/>
      <w:color w:val="auto"/>
      <w:sz w:val="20"/>
    </w:rPr>
  </w:style>
  <w:style w:type="paragraph" w:styleId="Tekstprzypisudolnego">
    <w:name w:val="footnote text"/>
    <w:basedOn w:val="Normalny"/>
    <w:link w:val="TekstprzypisudolnegoZnak"/>
    <w:autoRedefine/>
    <w:uiPriority w:val="99"/>
    <w:unhideWhenUsed/>
    <w:rsid w:val="00394B84"/>
    <w:pPr>
      <w:spacing w:after="0"/>
      <w:ind w:left="284" w:hanging="284"/>
      <w:jc w:val="both"/>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394B84"/>
    <w:rPr>
      <w:rFonts w:ascii="Times New Roman" w:eastAsia="Calibri" w:hAnsi="Times New Roman" w:cs="Times New Roman"/>
      <w:sz w:val="20"/>
      <w:szCs w:val="20"/>
    </w:rPr>
  </w:style>
  <w:style w:type="character" w:styleId="Odwoanieprzypisudolnego">
    <w:name w:val="footnote reference"/>
    <w:basedOn w:val="Domylnaczcionkaakapitu"/>
    <w:rsid w:val="00394B84"/>
    <w:rPr>
      <w:vertAlign w:val="superscript"/>
    </w:rPr>
  </w:style>
  <w:style w:type="paragraph" w:customStyle="1" w:styleId="Tekstprzypisudolnego0">
    <w:name w:val="*Tekst przypisu dolnego"/>
    <w:basedOn w:val="Normalny"/>
    <w:rsid w:val="00394B84"/>
    <w:pPr>
      <w:widowControl w:val="0"/>
      <w:tabs>
        <w:tab w:val="left" w:pos="198"/>
      </w:tabs>
      <w:autoSpaceDE w:val="0"/>
      <w:autoSpaceDN w:val="0"/>
      <w:adjustRightInd w:val="0"/>
      <w:spacing w:after="0"/>
      <w:ind w:left="198" w:hanging="198"/>
      <w:jc w:val="both"/>
      <w:textAlignment w:val="center"/>
    </w:pPr>
    <w:rPr>
      <w:rFonts w:ascii="Times New Roman" w:eastAsia="Times New Roman" w:hAnsi="Times New Roman" w:cs="ZapfCalligrPL"/>
      <w:color w:val="000000"/>
      <w:szCs w:val="16"/>
      <w:lang w:eastAsia="pl-PL"/>
    </w:rPr>
  </w:style>
  <w:style w:type="paragraph" w:customStyle="1" w:styleId="BasicParagraph">
    <w:name w:val="[Basic Paragraph]"/>
    <w:basedOn w:val="Normalny"/>
    <w:uiPriority w:val="99"/>
    <w:rsid w:val="00394B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paragraph" w:customStyle="1" w:styleId="boczek">
    <w:name w:val="*boczek"/>
    <w:basedOn w:val="Normalny"/>
    <w:rsid w:val="00394B84"/>
    <w:pPr>
      <w:widowControl w:val="0"/>
      <w:tabs>
        <w:tab w:val="left" w:pos="284"/>
        <w:tab w:val="left" w:pos="567"/>
        <w:tab w:val="left" w:pos="851"/>
        <w:tab w:val="left" w:pos="1134"/>
        <w:tab w:val="left" w:pos="1418"/>
        <w:tab w:val="left" w:pos="1701"/>
      </w:tabs>
      <w:suppressAutoHyphens/>
      <w:autoSpaceDE w:val="0"/>
      <w:autoSpaceDN w:val="0"/>
      <w:adjustRightInd w:val="0"/>
      <w:spacing w:after="0" w:line="256" w:lineRule="atLeast"/>
      <w:jc w:val="right"/>
      <w:textAlignment w:val="center"/>
    </w:pPr>
    <w:rPr>
      <w:rFonts w:ascii="EFN Bureau" w:eastAsia="Times New Roman" w:hAnsi="EFN Bureau" w:cs="EFN Bureau"/>
      <w:b/>
      <w:bCs/>
      <w:color w:val="000000"/>
      <w:sz w:val="20"/>
      <w:szCs w:val="20"/>
    </w:rPr>
  </w:style>
  <w:style w:type="paragraph" w:styleId="Tekstkomentarza">
    <w:name w:val="annotation text"/>
    <w:basedOn w:val="Normalny"/>
    <w:link w:val="TekstkomentarzaZnak"/>
    <w:uiPriority w:val="99"/>
    <w:semiHidden/>
    <w:rsid w:val="00394B84"/>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0"/>
      <w:szCs w:val="20"/>
    </w:rPr>
  </w:style>
  <w:style w:type="character" w:customStyle="1" w:styleId="TekstkomentarzaZnak">
    <w:name w:val="Tekst komentarza Znak"/>
    <w:basedOn w:val="Domylnaczcionkaakapitu"/>
    <w:link w:val="Tekstkomentarza"/>
    <w:uiPriority w:val="99"/>
    <w:semiHidden/>
    <w:rsid w:val="00394B84"/>
    <w:rPr>
      <w:rFonts w:ascii="Times New Roman" w:eastAsia="Times New Roman" w:hAnsi="Times New Roman" w:cs="Times New Roman"/>
      <w:color w:val="000000"/>
      <w:sz w:val="20"/>
      <w:szCs w:val="20"/>
    </w:rPr>
  </w:style>
  <w:style w:type="paragraph" w:customStyle="1" w:styleId="tekstglowny">
    <w:name w:val="_tekst glowny"/>
    <w:basedOn w:val="Normalny"/>
    <w:rsid w:val="00394B84"/>
    <w:pPr>
      <w:widowControl w:val="0"/>
      <w:autoSpaceDE w:val="0"/>
      <w:autoSpaceDN w:val="0"/>
      <w:adjustRightInd w:val="0"/>
      <w:spacing w:after="0" w:line="256" w:lineRule="atLeast"/>
      <w:ind w:firstLine="454"/>
      <w:jc w:val="both"/>
      <w:textAlignment w:val="center"/>
    </w:pPr>
    <w:rPr>
      <w:rFonts w:ascii="ZapfCalligrPL" w:eastAsia="Times New Roman" w:hAnsi="ZapfCalligrPL" w:cs="ZapfCalligrPL"/>
      <w:color w:val="000000"/>
      <w:w w:val="90"/>
      <w:sz w:val="21"/>
      <w:szCs w:val="21"/>
    </w:rPr>
  </w:style>
  <w:style w:type="paragraph" w:customStyle="1" w:styleId="r311">
    <w:name w:val="*r3_1.1."/>
    <w:basedOn w:val="Normalny"/>
    <w:rsid w:val="00394B84"/>
    <w:pPr>
      <w:widowControl w:val="0"/>
      <w:suppressAutoHyphens/>
      <w:autoSpaceDE w:val="0"/>
      <w:autoSpaceDN w:val="0"/>
      <w:adjustRightInd w:val="0"/>
      <w:spacing w:before="397" w:after="255" w:line="288" w:lineRule="auto"/>
      <w:jc w:val="center"/>
      <w:textAlignment w:val="center"/>
    </w:pPr>
    <w:rPr>
      <w:rFonts w:ascii="EFN Bureau" w:eastAsia="Times New Roman" w:hAnsi="EFN Bureau" w:cs="EFN Bureau"/>
      <w:b/>
      <w:bCs/>
      <w:color w:val="000000"/>
      <w:sz w:val="24"/>
      <w:szCs w:val="24"/>
    </w:rPr>
  </w:style>
  <w:style w:type="paragraph" w:customStyle="1" w:styleId="r21">
    <w:name w:val="*r2_1."/>
    <w:basedOn w:val="Normalny"/>
    <w:uiPriority w:val="99"/>
    <w:rsid w:val="00394B84"/>
    <w:pPr>
      <w:widowControl w:val="0"/>
      <w:suppressAutoHyphens/>
      <w:autoSpaceDE w:val="0"/>
      <w:autoSpaceDN w:val="0"/>
      <w:adjustRightInd w:val="0"/>
      <w:spacing w:before="454" w:after="283" w:line="288" w:lineRule="auto"/>
      <w:jc w:val="center"/>
      <w:textAlignment w:val="center"/>
    </w:pPr>
    <w:rPr>
      <w:rFonts w:ascii="EFN Bureau" w:eastAsia="Times New Roman" w:hAnsi="EFN Bureau" w:cs="EFN Bureau"/>
      <w:b/>
      <w:bCs/>
      <w:color w:val="000000"/>
      <w:sz w:val="27"/>
      <w:szCs w:val="27"/>
    </w:rPr>
  </w:style>
  <w:style w:type="paragraph" w:customStyle="1" w:styleId="lista1-wyliczeniowa">
    <w:name w:val="*lista1-wyliczeniowa"/>
    <w:basedOn w:val="Normalny"/>
    <w:rsid w:val="00394B84"/>
    <w:pPr>
      <w:widowControl w:val="0"/>
      <w:tabs>
        <w:tab w:val="left" w:pos="454"/>
        <w:tab w:val="left" w:pos="567"/>
      </w:tabs>
      <w:autoSpaceDE w:val="0"/>
      <w:autoSpaceDN w:val="0"/>
      <w:adjustRightInd w:val="0"/>
      <w:spacing w:after="0" w:line="288" w:lineRule="auto"/>
      <w:ind w:left="454" w:hanging="227"/>
      <w:jc w:val="both"/>
      <w:textAlignment w:val="center"/>
    </w:pPr>
    <w:rPr>
      <w:rFonts w:ascii="ZapfCalligrPL" w:eastAsia="Times New Roman" w:hAnsi="ZapfCalligrPL" w:cs="ZapfCalligrPL"/>
      <w:color w:val="000000"/>
      <w:w w:val="90"/>
      <w:sz w:val="21"/>
      <w:szCs w:val="21"/>
    </w:rPr>
  </w:style>
  <w:style w:type="paragraph" w:styleId="Tekstpodstawowy">
    <w:name w:val="Body Text"/>
    <w:basedOn w:val="Normalny"/>
    <w:link w:val="TekstpodstawowyZnak"/>
    <w:rsid w:val="00394B84"/>
    <w:pPr>
      <w:spacing w:after="0" w:line="36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rsid w:val="00394B84"/>
    <w:rPr>
      <w:rFonts w:ascii="Times New Roman" w:eastAsia="Times New Roman" w:hAnsi="Times New Roman" w:cs="Times New Roman"/>
      <w:sz w:val="28"/>
      <w:szCs w:val="20"/>
      <w:lang w:eastAsia="pl-PL"/>
    </w:rPr>
  </w:style>
  <w:style w:type="paragraph" w:styleId="Tytu">
    <w:name w:val="Title"/>
    <w:basedOn w:val="Normalny"/>
    <w:next w:val="Normalny"/>
    <w:link w:val="TytuZnak"/>
    <w:uiPriority w:val="10"/>
    <w:qFormat/>
    <w:rsid w:val="00394B84"/>
    <w:pPr>
      <w:spacing w:before="240" w:after="60"/>
      <w:ind w:left="709"/>
      <w:jc w:val="center"/>
      <w:outlineLvl w:val="0"/>
    </w:pPr>
    <w:rPr>
      <w:rFonts w:ascii="Cambria" w:eastAsia="Times New Roman" w:hAnsi="Cambria" w:cs="Times New Roman"/>
      <w:b/>
      <w:bCs/>
      <w:kern w:val="28"/>
      <w:sz w:val="32"/>
      <w:szCs w:val="32"/>
    </w:rPr>
  </w:style>
  <w:style w:type="character" w:customStyle="1" w:styleId="TytuZnak">
    <w:name w:val="Tytuł Znak"/>
    <w:basedOn w:val="Domylnaczcionkaakapitu"/>
    <w:link w:val="Tytu"/>
    <w:uiPriority w:val="10"/>
    <w:rsid w:val="00394B84"/>
    <w:rPr>
      <w:rFonts w:ascii="Cambria" w:eastAsia="Times New Roman" w:hAnsi="Cambria" w:cs="Times New Roman"/>
      <w:b/>
      <w:bCs/>
      <w:kern w:val="28"/>
      <w:sz w:val="32"/>
      <w:szCs w:val="32"/>
    </w:rPr>
  </w:style>
  <w:style w:type="character" w:customStyle="1" w:styleId="TekstprzypisukocowegoZnak">
    <w:name w:val="Tekst przypisu końcowego Znak"/>
    <w:basedOn w:val="Domylnaczcionkaakapitu"/>
    <w:link w:val="Tekstprzypisukocowego"/>
    <w:uiPriority w:val="99"/>
    <w:semiHidden/>
    <w:rsid w:val="00394B84"/>
  </w:style>
  <w:style w:type="paragraph" w:styleId="Tekstprzypisukocowego">
    <w:name w:val="endnote text"/>
    <w:basedOn w:val="Normalny"/>
    <w:link w:val="TekstprzypisukocowegoZnak"/>
    <w:uiPriority w:val="99"/>
    <w:semiHidden/>
    <w:unhideWhenUsed/>
    <w:rsid w:val="00394B84"/>
    <w:pPr>
      <w:spacing w:after="0"/>
      <w:ind w:left="709"/>
      <w:jc w:val="both"/>
    </w:pPr>
  </w:style>
  <w:style w:type="character" w:customStyle="1" w:styleId="TekstprzypisukocowegoZnak1">
    <w:name w:val="Tekst przypisu końcowego Znak1"/>
    <w:basedOn w:val="Domylnaczcionkaakapitu"/>
    <w:link w:val="Tekstprzypisukocowego"/>
    <w:uiPriority w:val="99"/>
    <w:semiHidden/>
    <w:rsid w:val="00394B84"/>
    <w:rPr>
      <w:sz w:val="20"/>
      <w:szCs w:val="20"/>
    </w:rPr>
  </w:style>
  <w:style w:type="character" w:customStyle="1" w:styleId="NagwekZnak">
    <w:name w:val="Nagłówek Znak"/>
    <w:basedOn w:val="Domylnaczcionkaakapitu"/>
    <w:link w:val="Nagwek"/>
    <w:uiPriority w:val="99"/>
    <w:semiHidden/>
    <w:rsid w:val="00394B84"/>
    <w:rPr>
      <w:sz w:val="24"/>
      <w:szCs w:val="24"/>
    </w:rPr>
  </w:style>
  <w:style w:type="paragraph" w:styleId="Nagwek">
    <w:name w:val="header"/>
    <w:basedOn w:val="Normalny"/>
    <w:link w:val="NagwekZnak"/>
    <w:uiPriority w:val="99"/>
    <w:semiHidden/>
    <w:unhideWhenUsed/>
    <w:rsid w:val="00394B84"/>
    <w:pPr>
      <w:tabs>
        <w:tab w:val="center" w:pos="4536"/>
        <w:tab w:val="right" w:pos="9072"/>
      </w:tabs>
      <w:spacing w:after="0"/>
      <w:ind w:left="709"/>
      <w:jc w:val="both"/>
    </w:pPr>
    <w:rPr>
      <w:sz w:val="24"/>
      <w:szCs w:val="24"/>
    </w:rPr>
  </w:style>
  <w:style w:type="character" w:customStyle="1" w:styleId="NagwekZnak1">
    <w:name w:val="Nagłówek Znak1"/>
    <w:basedOn w:val="Domylnaczcionkaakapitu"/>
    <w:link w:val="Nagwek"/>
    <w:uiPriority w:val="99"/>
    <w:semiHidden/>
    <w:rsid w:val="00394B84"/>
  </w:style>
  <w:style w:type="paragraph" w:styleId="Stopka">
    <w:name w:val="footer"/>
    <w:basedOn w:val="Normalny"/>
    <w:link w:val="StopkaZnak"/>
    <w:uiPriority w:val="99"/>
    <w:unhideWhenUsed/>
    <w:rsid w:val="00394B84"/>
    <w:pPr>
      <w:tabs>
        <w:tab w:val="center" w:pos="4536"/>
        <w:tab w:val="right" w:pos="9072"/>
      </w:tabs>
      <w:spacing w:after="0"/>
      <w:ind w:left="709"/>
      <w:jc w:val="both"/>
    </w:pPr>
    <w:rPr>
      <w:rFonts w:ascii="Times New Roman" w:eastAsia="Calibri" w:hAnsi="Times New Roman" w:cs="Times New Roman"/>
      <w:sz w:val="24"/>
      <w:szCs w:val="24"/>
    </w:rPr>
  </w:style>
  <w:style w:type="character" w:customStyle="1" w:styleId="StopkaZnak">
    <w:name w:val="Stopka Znak"/>
    <w:basedOn w:val="Domylnaczcionkaakapitu"/>
    <w:link w:val="Stopka"/>
    <w:uiPriority w:val="99"/>
    <w:rsid w:val="00394B84"/>
    <w:rPr>
      <w:rFonts w:ascii="Times New Roman" w:eastAsia="Calibri" w:hAnsi="Times New Roman" w:cs="Times New Roman"/>
      <w:sz w:val="24"/>
      <w:szCs w:val="24"/>
    </w:rPr>
  </w:style>
  <w:style w:type="paragraph" w:customStyle="1" w:styleId="lista2-wyliczeniowa">
    <w:name w:val="*lista2-wyliczeniowa"/>
    <w:basedOn w:val="Normalny"/>
    <w:rsid w:val="00394B84"/>
    <w:pPr>
      <w:widowControl w:val="0"/>
      <w:tabs>
        <w:tab w:val="left" w:pos="680"/>
      </w:tabs>
      <w:autoSpaceDE w:val="0"/>
      <w:autoSpaceDN w:val="0"/>
      <w:adjustRightInd w:val="0"/>
      <w:spacing w:after="0" w:line="288" w:lineRule="auto"/>
      <w:ind w:left="680" w:hanging="227"/>
      <w:jc w:val="both"/>
      <w:textAlignment w:val="center"/>
    </w:pPr>
    <w:rPr>
      <w:rFonts w:ascii="ZapfCalligrPL" w:eastAsia="Times New Roman" w:hAnsi="ZapfCalligrPL" w:cs="ZapfCalligrPL"/>
      <w:color w:val="000000"/>
      <w:w w:val="90"/>
      <w:sz w:val="21"/>
      <w:szCs w:val="21"/>
      <w:lang w:eastAsia="pl-PL"/>
    </w:rPr>
  </w:style>
  <w:style w:type="character" w:styleId="Odwoanieprzypisukocowego">
    <w:name w:val="endnote reference"/>
    <w:basedOn w:val="Domylnaczcionkaakapitu"/>
    <w:uiPriority w:val="99"/>
    <w:semiHidden/>
    <w:unhideWhenUsed/>
    <w:rsid w:val="00394B84"/>
    <w:rPr>
      <w:vertAlign w:val="superscript"/>
    </w:rPr>
  </w:style>
  <w:style w:type="paragraph" w:styleId="Nagwekspisutreci">
    <w:name w:val="TOC Heading"/>
    <w:basedOn w:val="Nagwek1"/>
    <w:next w:val="Normalny"/>
    <w:uiPriority w:val="39"/>
    <w:semiHidden/>
    <w:unhideWhenUsed/>
    <w:qFormat/>
    <w:rsid w:val="00394B84"/>
    <w:pPr>
      <w:keepLines/>
      <w:spacing w:before="480" w:after="0" w:line="276" w:lineRule="auto"/>
      <w:outlineLvl w:val="9"/>
    </w:pPr>
    <w:rPr>
      <w:color w:val="365F91"/>
      <w:kern w:val="0"/>
      <w:sz w:val="28"/>
      <w:szCs w:val="28"/>
    </w:rPr>
  </w:style>
  <w:style w:type="paragraph" w:styleId="Spistreci2">
    <w:name w:val="toc 2"/>
    <w:basedOn w:val="Normalny"/>
    <w:next w:val="Normalny"/>
    <w:autoRedefine/>
    <w:uiPriority w:val="39"/>
    <w:semiHidden/>
    <w:unhideWhenUsed/>
    <w:qFormat/>
    <w:rsid w:val="00394B84"/>
    <w:pPr>
      <w:spacing w:after="100"/>
      <w:ind w:left="220"/>
    </w:pPr>
    <w:rPr>
      <w:rFonts w:ascii="Calibri" w:eastAsia="Times New Roman" w:hAnsi="Calibri" w:cs="Times New Roman"/>
    </w:rPr>
  </w:style>
  <w:style w:type="paragraph" w:styleId="Spistreci1">
    <w:name w:val="toc 1"/>
    <w:basedOn w:val="Normalny"/>
    <w:next w:val="Normalny"/>
    <w:autoRedefine/>
    <w:uiPriority w:val="39"/>
    <w:semiHidden/>
    <w:unhideWhenUsed/>
    <w:qFormat/>
    <w:rsid w:val="00394B84"/>
    <w:pPr>
      <w:spacing w:after="100"/>
    </w:pPr>
    <w:rPr>
      <w:rFonts w:ascii="Calibri" w:eastAsia="Times New Roman" w:hAnsi="Calibri" w:cs="Times New Roman"/>
    </w:rPr>
  </w:style>
  <w:style w:type="paragraph" w:styleId="Spistreci3">
    <w:name w:val="toc 3"/>
    <w:basedOn w:val="Normalny"/>
    <w:next w:val="Normalny"/>
    <w:autoRedefine/>
    <w:uiPriority w:val="39"/>
    <w:semiHidden/>
    <w:unhideWhenUsed/>
    <w:qFormat/>
    <w:rsid w:val="00394B84"/>
    <w:pPr>
      <w:spacing w:after="100"/>
      <w:ind w:left="440"/>
    </w:pPr>
    <w:rPr>
      <w:rFonts w:ascii="Calibri" w:eastAsia="Times New Roman" w:hAnsi="Calibri" w:cs="Times New Roman"/>
    </w:rPr>
  </w:style>
  <w:style w:type="character" w:styleId="Hipercze">
    <w:name w:val="Hyperlink"/>
    <w:basedOn w:val="Domylnaczcionkaakapitu"/>
    <w:uiPriority w:val="99"/>
    <w:unhideWhenUsed/>
    <w:rsid w:val="00394B84"/>
    <w:rPr>
      <w:color w:val="0000FF"/>
      <w:u w:val="single"/>
    </w:rPr>
  </w:style>
  <w:style w:type="character" w:styleId="Odwoaniedokomentarza">
    <w:name w:val="annotation reference"/>
    <w:basedOn w:val="Domylnaczcionkaakapitu"/>
    <w:uiPriority w:val="99"/>
    <w:semiHidden/>
    <w:unhideWhenUsed/>
    <w:rsid w:val="00394B84"/>
    <w:rPr>
      <w:sz w:val="16"/>
      <w:szCs w:val="16"/>
    </w:rPr>
  </w:style>
  <w:style w:type="paragraph" w:styleId="Tematkomentarza">
    <w:name w:val="annotation subject"/>
    <w:basedOn w:val="Tekstkomentarza"/>
    <w:next w:val="Tekstkomentarza"/>
    <w:link w:val="TematkomentarzaZnak"/>
    <w:uiPriority w:val="99"/>
    <w:semiHidden/>
    <w:unhideWhenUsed/>
    <w:rsid w:val="00394B84"/>
    <w:pPr>
      <w:widowControl/>
      <w:autoSpaceDE/>
      <w:autoSpaceDN/>
      <w:adjustRightInd/>
      <w:spacing w:line="240" w:lineRule="auto"/>
      <w:textAlignment w:val="auto"/>
    </w:pPr>
    <w:rPr>
      <w:rFonts w:eastAsia="Calibri"/>
      <w:b/>
      <w:bCs/>
      <w:color w:val="auto"/>
    </w:rPr>
  </w:style>
  <w:style w:type="character" w:customStyle="1" w:styleId="TematkomentarzaZnak">
    <w:name w:val="Temat komentarza Znak"/>
    <w:basedOn w:val="TekstkomentarzaZnak"/>
    <w:link w:val="Tematkomentarza"/>
    <w:uiPriority w:val="99"/>
    <w:semiHidden/>
    <w:rsid w:val="00394B84"/>
    <w:rPr>
      <w:rFonts w:eastAsia="Calibri"/>
      <w:b/>
      <w:bCs/>
    </w:rPr>
  </w:style>
  <w:style w:type="paragraph" w:styleId="Tekstdymka">
    <w:name w:val="Balloon Text"/>
    <w:basedOn w:val="Normalny"/>
    <w:link w:val="TekstdymkaZnak"/>
    <w:uiPriority w:val="99"/>
    <w:semiHidden/>
    <w:unhideWhenUsed/>
    <w:rsid w:val="00394B84"/>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394B84"/>
    <w:rPr>
      <w:rFonts w:ascii="Tahoma" w:eastAsia="Calibri" w:hAnsi="Tahoma" w:cs="Tahoma"/>
      <w:sz w:val="16"/>
      <w:szCs w:val="16"/>
    </w:rPr>
  </w:style>
  <w:style w:type="paragraph" w:styleId="Akapitzlist">
    <w:name w:val="List Paragraph"/>
    <w:basedOn w:val="Normalny"/>
    <w:uiPriority w:val="34"/>
    <w:qFormat/>
    <w:rsid w:val="002C0F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18</Pages>
  <Words>6367</Words>
  <Characters>38202</Characters>
  <Application>Microsoft Office Word</Application>
  <DocSecurity>0</DocSecurity>
  <Lines>318</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18</cp:revision>
  <dcterms:created xsi:type="dcterms:W3CDTF">2020-12-05T09:01:00Z</dcterms:created>
  <dcterms:modified xsi:type="dcterms:W3CDTF">2020-12-08T09:19:00Z</dcterms:modified>
</cp:coreProperties>
</file>