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3F" w:rsidRPr="00A6583F" w:rsidRDefault="00A6583F" w:rsidP="00A6583F">
      <w:pPr>
        <w:spacing w:after="0" w:line="360" w:lineRule="auto"/>
        <w:jc w:val="center"/>
        <w:rPr>
          <w:rFonts w:ascii="Times New Roman" w:eastAsia="Calibri" w:hAnsi="Times New Roman" w:cs="Times New Roman"/>
          <w:b/>
          <w:sz w:val="36"/>
          <w:szCs w:val="36"/>
        </w:rPr>
      </w:pPr>
    </w:p>
    <w:p w:rsidR="00A6583F" w:rsidRPr="00960899" w:rsidRDefault="00A6583F" w:rsidP="00A6583F">
      <w:pPr>
        <w:spacing w:after="0" w:line="360" w:lineRule="auto"/>
        <w:jc w:val="center"/>
        <w:rPr>
          <w:rFonts w:ascii="Times New Roman" w:eastAsia="Calibri" w:hAnsi="Times New Roman" w:cs="Times New Roman"/>
          <w:b/>
          <w:sz w:val="28"/>
          <w:szCs w:val="28"/>
        </w:rPr>
      </w:pPr>
      <w:r w:rsidRPr="00960899">
        <w:rPr>
          <w:rFonts w:ascii="Times New Roman" w:eastAsia="Calibri" w:hAnsi="Times New Roman" w:cs="Times New Roman"/>
          <w:b/>
          <w:sz w:val="28"/>
          <w:szCs w:val="28"/>
        </w:rPr>
        <w:t xml:space="preserve">BEZSKUTECZNOŚĆ </w:t>
      </w:r>
      <w:r w:rsidR="00781743" w:rsidRPr="00960899">
        <w:rPr>
          <w:rFonts w:ascii="Times New Roman" w:eastAsia="Calibri" w:hAnsi="Times New Roman" w:cs="Times New Roman"/>
          <w:b/>
          <w:sz w:val="28"/>
          <w:szCs w:val="28"/>
        </w:rPr>
        <w:t xml:space="preserve">I ZASKARŻANIE </w:t>
      </w:r>
      <w:r w:rsidRPr="00960899">
        <w:rPr>
          <w:rFonts w:ascii="Times New Roman" w:eastAsia="Calibri" w:hAnsi="Times New Roman" w:cs="Times New Roman"/>
          <w:b/>
          <w:sz w:val="28"/>
          <w:szCs w:val="28"/>
        </w:rPr>
        <w:t xml:space="preserve">CZYNNOŚCI UPADŁEGO </w:t>
      </w:r>
    </w:p>
    <w:p w:rsidR="00A6583F" w:rsidRPr="00A6583F" w:rsidRDefault="00A6583F" w:rsidP="00A6583F">
      <w:pPr>
        <w:spacing w:after="0" w:line="360" w:lineRule="auto"/>
        <w:jc w:val="both"/>
        <w:rPr>
          <w:rFonts w:ascii="Times New Roman" w:eastAsia="Calibri" w:hAnsi="Times New Roman" w:cs="Times New Roman"/>
          <w:b/>
          <w:sz w:val="24"/>
          <w:szCs w:val="24"/>
        </w:rPr>
      </w:pPr>
    </w:p>
    <w:p w:rsidR="00A6583F" w:rsidRPr="00A6583F" w:rsidRDefault="00A6583F" w:rsidP="00A6583F">
      <w:pPr>
        <w:spacing w:after="0" w:line="360" w:lineRule="auto"/>
        <w:jc w:val="both"/>
        <w:rPr>
          <w:rFonts w:ascii="Times New Roman" w:eastAsia="Calibri" w:hAnsi="Times New Roman" w:cs="Times New Roman"/>
          <w:b/>
          <w:sz w:val="24"/>
          <w:szCs w:val="24"/>
        </w:rPr>
      </w:pP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b/>
          <w:sz w:val="24"/>
          <w:szCs w:val="24"/>
        </w:rPr>
        <w:t>1. Zagadnienia ogólne</w:t>
      </w:r>
    </w:p>
    <w:p w:rsidR="00A6583F" w:rsidRPr="00A6583F" w:rsidRDefault="00A6583F" w:rsidP="00A6583F">
      <w:pPr>
        <w:spacing w:after="0" w:line="360" w:lineRule="auto"/>
        <w:jc w:val="both"/>
        <w:rPr>
          <w:rFonts w:ascii="Times New Roman" w:eastAsia="Calibri" w:hAnsi="Times New Roman" w:cs="Times New Roman"/>
          <w:bCs/>
          <w:sz w:val="24"/>
          <w:szCs w:val="24"/>
        </w:rPr>
      </w:pPr>
    </w:p>
    <w:p w:rsidR="00A6583F" w:rsidRPr="00A6583F" w:rsidRDefault="00A6583F" w:rsidP="00A6583F">
      <w:pPr>
        <w:spacing w:after="0" w:line="360" w:lineRule="auto"/>
        <w:jc w:val="both"/>
        <w:rPr>
          <w:rFonts w:ascii="Times New Roman" w:eastAsia="Calibri" w:hAnsi="Times New Roman" w:cs="Times New Roman"/>
          <w:bCs/>
          <w:sz w:val="24"/>
          <w:szCs w:val="24"/>
        </w:rPr>
      </w:pPr>
      <w:r w:rsidRPr="00A6583F">
        <w:rPr>
          <w:rFonts w:ascii="Times New Roman" w:eastAsia="Calibri" w:hAnsi="Times New Roman" w:cs="Times New Roman"/>
          <w:bCs/>
          <w:sz w:val="24"/>
          <w:szCs w:val="24"/>
        </w:rPr>
        <w:tab/>
        <w:t>Ustawodawca w trosce o realizację podstawowego celu postępowania upadłościowego, czyli zaspokojenia w jak największym stopniu wierzycieli upadłego, nie ogran</w:t>
      </w:r>
      <w:r w:rsidR="00781743">
        <w:rPr>
          <w:rFonts w:ascii="Times New Roman" w:eastAsia="Calibri" w:hAnsi="Times New Roman" w:cs="Times New Roman"/>
          <w:bCs/>
          <w:sz w:val="24"/>
          <w:szCs w:val="24"/>
        </w:rPr>
        <w:t xml:space="preserve">icza się do odebrania upadłemu </w:t>
      </w:r>
      <w:r w:rsidRPr="00A6583F">
        <w:rPr>
          <w:rFonts w:ascii="Times New Roman" w:eastAsia="Calibri" w:hAnsi="Times New Roman" w:cs="Times New Roman"/>
          <w:bCs/>
          <w:sz w:val="24"/>
          <w:szCs w:val="24"/>
        </w:rPr>
        <w:t>zarządu majątk</w:t>
      </w:r>
      <w:r w:rsidR="00781743">
        <w:rPr>
          <w:rFonts w:ascii="Times New Roman" w:eastAsia="Calibri" w:hAnsi="Times New Roman" w:cs="Times New Roman"/>
          <w:bCs/>
          <w:sz w:val="24"/>
          <w:szCs w:val="24"/>
        </w:rPr>
        <w:t>iem i powierzenia go syndykowi oraz</w:t>
      </w:r>
      <w:r w:rsidRPr="00A6583F">
        <w:rPr>
          <w:rFonts w:ascii="Times New Roman" w:eastAsia="Calibri" w:hAnsi="Times New Roman" w:cs="Times New Roman"/>
          <w:bCs/>
          <w:sz w:val="24"/>
          <w:szCs w:val="24"/>
        </w:rPr>
        <w:t xml:space="preserve"> do wp</w:t>
      </w:r>
      <w:r w:rsidR="00252485">
        <w:rPr>
          <w:rFonts w:ascii="Times New Roman" w:eastAsia="Calibri" w:hAnsi="Times New Roman" w:cs="Times New Roman"/>
          <w:bCs/>
          <w:sz w:val="24"/>
          <w:szCs w:val="24"/>
        </w:rPr>
        <w:t>rowadzonego w art. 81 ust. 1 PU</w:t>
      </w:r>
      <w:r w:rsidRPr="00A6583F">
        <w:rPr>
          <w:rFonts w:ascii="Times New Roman" w:eastAsia="Calibri" w:hAnsi="Times New Roman" w:cs="Times New Roman"/>
          <w:bCs/>
          <w:sz w:val="24"/>
          <w:szCs w:val="24"/>
        </w:rPr>
        <w:t xml:space="preserve"> zakazu obciążania składników masy upadłości na zabezpieczenie wierzytelności powstałych przed dniem ogłoszenia upadłości wymienionymi w nim ograniczonymi prawami rzeczowymi. Te sposoby zabezpieczenia majątku upadłego przed uszczupleniem lub obciążeniem ze szkodą dla grupowego interesu jego wierzycieli, działają bowiem dopiero w toku postępowania upadłościowego, dlatego też nie mogą być uznane za wystarczające. W praktyce obrotu nie jest wszak wykluczona sytuacja, gdy dłużnik rozporządza swoim majątkiem ze szkodą dla wierzycieli jeszcze przed złożeniem wniosku o ogłoszenie jego upadłości i wszczęciem postępowania upadłościowego, wyzbywając się w różny sposób jego składników, które mogłyby zostać przeznaczone na zaspokojenie wierzycieli, lub też bezzasadnie obciążając je ograniczonymi prawami rzeczowymi – w tym prawami zastawniczymi. Niejednokrotnie samo doprowadzenie do niewypłacalności jest wręcz następstwem działań dłużnika zmierzających do pokrzywdzenia wierzycieli. Dlatego też, w celu ochrony interesów wierzycieli upadłego, ustawodawca przewiduje, że określone czynności dłużnika dotyczące jego majątku, dokonane jeszcze przed ogłoszeniem jego upadłości mogą być bezskuteczne w stosunku do masy upadłości. Należy przy tym zaznaczyć, że ponieważ masa upadłości nie jest podmiotem prawa, zwrot „bezskuteczność w stosunku do masy upadłości” oznacza w istocie bezskuteczność w stosunku do wszystkich wierzycieli biorących udział w postępowaniu upadłościowym.</w:t>
      </w:r>
    </w:p>
    <w:p w:rsidR="00A6583F" w:rsidRPr="00A6583F" w:rsidRDefault="00A6583F" w:rsidP="00A6583F">
      <w:pPr>
        <w:spacing w:after="0" w:line="360" w:lineRule="auto"/>
        <w:jc w:val="both"/>
        <w:rPr>
          <w:rFonts w:ascii="Times New Roman" w:eastAsia="Calibri" w:hAnsi="Times New Roman" w:cs="Times New Roman"/>
          <w:bCs/>
          <w:sz w:val="24"/>
          <w:szCs w:val="24"/>
        </w:rPr>
      </w:pPr>
      <w:r w:rsidRPr="00A6583F">
        <w:rPr>
          <w:rFonts w:ascii="Times New Roman" w:eastAsia="Calibri" w:hAnsi="Times New Roman" w:cs="Times New Roman"/>
          <w:bCs/>
          <w:sz w:val="24"/>
          <w:szCs w:val="24"/>
        </w:rPr>
        <w:tab/>
        <w:t xml:space="preserve">Instytucja bezskuteczności czynności dłużnika dokonanych przed ogłoszeniem jego upadłości uzupełnia zatem omówione w poprzednim rozdziale regulacje przewidujące nieważność czynności upadłego dokonanych już po ogłoszeniu jego upadłości. Ustawodawca w pewnym sensie rozciąga skutki upadłości na czas przed jej ogłoszeniem, w celu ochrony interesów wierzycieli upadłego poprzez zapobieganie nieuzasadnionemu uszczupleniu masy </w:t>
      </w:r>
      <w:r w:rsidRPr="00A6583F">
        <w:rPr>
          <w:rFonts w:ascii="Times New Roman" w:eastAsia="Calibri" w:hAnsi="Times New Roman" w:cs="Times New Roman"/>
          <w:bCs/>
          <w:sz w:val="24"/>
          <w:szCs w:val="24"/>
        </w:rPr>
        <w:lastRenderedPageBreak/>
        <w:t xml:space="preserve">upadłości i tym samym zwiększeniu szansy ogółu wierzycieli na uzyskanie choćby częściowego zaspokojenia swoich należności względem upadłego. </w:t>
      </w:r>
    </w:p>
    <w:p w:rsidR="00A6583F" w:rsidRPr="00A6583F" w:rsidRDefault="00A6583F" w:rsidP="00A6583F">
      <w:pPr>
        <w:spacing w:after="0" w:line="360" w:lineRule="auto"/>
        <w:jc w:val="both"/>
        <w:rPr>
          <w:rFonts w:ascii="Times New Roman" w:eastAsia="Calibri" w:hAnsi="Times New Roman" w:cs="Times New Roman"/>
          <w:bCs/>
          <w:sz w:val="24"/>
          <w:szCs w:val="24"/>
        </w:rPr>
      </w:pPr>
      <w:r w:rsidRPr="00A6583F">
        <w:rPr>
          <w:rFonts w:ascii="Times New Roman" w:eastAsia="Calibri" w:hAnsi="Times New Roman" w:cs="Times New Roman"/>
          <w:bCs/>
          <w:sz w:val="24"/>
          <w:szCs w:val="24"/>
        </w:rPr>
        <w:tab/>
        <w:t xml:space="preserve">Regulacje dotyczące bezskuteczności i zaskarżania czynności upadłego zawiera dział III </w:t>
      </w:r>
      <w:r w:rsidR="00781743">
        <w:rPr>
          <w:rFonts w:ascii="Times New Roman" w:eastAsia="Calibri" w:hAnsi="Times New Roman" w:cs="Times New Roman"/>
          <w:bCs/>
          <w:sz w:val="24"/>
          <w:szCs w:val="24"/>
        </w:rPr>
        <w:t>tytułu III, części pierwszej PU</w:t>
      </w:r>
      <w:r w:rsidRPr="00A6583F">
        <w:rPr>
          <w:rFonts w:ascii="Times New Roman" w:eastAsia="Calibri" w:hAnsi="Times New Roman" w:cs="Times New Roman"/>
          <w:bCs/>
          <w:sz w:val="24"/>
          <w:szCs w:val="24"/>
        </w:rPr>
        <w:t xml:space="preserve">, obejmujący art. od 127 do 135. </w:t>
      </w:r>
    </w:p>
    <w:p w:rsidR="00A6583F" w:rsidRPr="00A6583F" w:rsidRDefault="00A6583F" w:rsidP="00A6583F">
      <w:pPr>
        <w:spacing w:after="0" w:line="360" w:lineRule="auto"/>
        <w:jc w:val="both"/>
        <w:rPr>
          <w:rFonts w:ascii="Times New Roman" w:eastAsia="Calibri" w:hAnsi="Times New Roman" w:cs="Times New Roman"/>
          <w:bCs/>
          <w:sz w:val="24"/>
          <w:szCs w:val="24"/>
        </w:rPr>
      </w:pPr>
    </w:p>
    <w:p w:rsidR="00A6583F" w:rsidRPr="00A6583F" w:rsidRDefault="00A6583F" w:rsidP="00A6583F">
      <w:pPr>
        <w:spacing w:after="0" w:line="360" w:lineRule="auto"/>
        <w:jc w:val="both"/>
        <w:rPr>
          <w:rFonts w:ascii="Times New Roman" w:eastAsia="Calibri" w:hAnsi="Times New Roman" w:cs="Times New Roman"/>
          <w:b/>
          <w:bCs/>
          <w:sz w:val="24"/>
          <w:szCs w:val="24"/>
        </w:rPr>
      </w:pPr>
      <w:r w:rsidRPr="00A6583F">
        <w:rPr>
          <w:rFonts w:ascii="Times New Roman" w:eastAsia="Calibri" w:hAnsi="Times New Roman" w:cs="Times New Roman"/>
          <w:b/>
          <w:bCs/>
          <w:sz w:val="24"/>
          <w:szCs w:val="24"/>
        </w:rPr>
        <w:t>2. Pojęcie i rodzaje bezskuteczności czynności upadłego</w:t>
      </w:r>
    </w:p>
    <w:p w:rsidR="00A6583F" w:rsidRPr="00A6583F" w:rsidRDefault="00A6583F" w:rsidP="00A6583F">
      <w:pPr>
        <w:spacing w:after="0" w:line="360" w:lineRule="auto"/>
        <w:jc w:val="both"/>
        <w:rPr>
          <w:rFonts w:ascii="Times New Roman" w:eastAsia="Calibri" w:hAnsi="Times New Roman" w:cs="Times New Roman"/>
          <w:b/>
          <w:sz w:val="24"/>
          <w:szCs w:val="24"/>
        </w:rPr>
      </w:pP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Instytucja bezskuteczności czynności upadłego służy, jak już zaznaczono, ochronie wierzycieli upadłego. Ponieważ stopień realizacji podstawowego celu postępowania upadłościowego, czyli </w:t>
      </w:r>
      <w:r w:rsidRPr="00A6583F">
        <w:rPr>
          <w:rFonts w:ascii="Times New Roman" w:eastAsia="Calibri" w:hAnsi="Times New Roman" w:cs="Times New Roman"/>
          <w:bCs/>
          <w:sz w:val="24"/>
          <w:szCs w:val="24"/>
        </w:rPr>
        <w:t>zaspokojenia w jak największym stopniu wierzycieli upadłego</w:t>
      </w:r>
      <w:r w:rsidRPr="00A6583F">
        <w:rPr>
          <w:rFonts w:ascii="Times New Roman" w:eastAsia="Calibri" w:hAnsi="Times New Roman" w:cs="Times New Roman"/>
          <w:sz w:val="24"/>
          <w:szCs w:val="24"/>
        </w:rPr>
        <w:t xml:space="preserve"> zależy bezpośrednio od wielkości majątku tworzącego masę upadłości, ustawodawca, poprzez instytucję bezskuteczno</w:t>
      </w:r>
      <w:r w:rsidR="003D37E0">
        <w:rPr>
          <w:rFonts w:ascii="Times New Roman" w:eastAsia="Calibri" w:hAnsi="Times New Roman" w:cs="Times New Roman"/>
          <w:sz w:val="24"/>
          <w:szCs w:val="24"/>
        </w:rPr>
        <w:t>ści określonych w przepisach PU</w:t>
      </w:r>
      <w:r w:rsidRPr="00A6583F">
        <w:rPr>
          <w:rFonts w:ascii="Times New Roman" w:eastAsia="Calibri" w:hAnsi="Times New Roman" w:cs="Times New Roman"/>
          <w:sz w:val="24"/>
          <w:szCs w:val="24"/>
        </w:rPr>
        <w:t xml:space="preserve"> czynności upadłego, zmierza do wyeliminowania niewątpliwie niekorzystnych dla wierzycieli konsekwencji zmniejszenia się majątku dłużnika jeszcze przed ogłoszeniem jego upadłości. Przedmiotem dochodzenia bezskuteczności mogą być przy tym tylko czynności prawne dłużnika, a nie czyny lub inne zdarzenia faktyczne.</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Fakt, że określone czynności prawne dł</w:t>
      </w:r>
      <w:r w:rsidR="003D37E0">
        <w:rPr>
          <w:rFonts w:ascii="Times New Roman" w:eastAsia="Calibri" w:hAnsi="Times New Roman" w:cs="Times New Roman"/>
          <w:sz w:val="24"/>
          <w:szCs w:val="24"/>
        </w:rPr>
        <w:t>użnika są objęte regulacjami PU</w:t>
      </w:r>
      <w:r w:rsidRPr="00A6583F">
        <w:rPr>
          <w:rFonts w:ascii="Times New Roman" w:eastAsia="Calibri" w:hAnsi="Times New Roman" w:cs="Times New Roman"/>
          <w:sz w:val="24"/>
          <w:szCs w:val="24"/>
        </w:rPr>
        <w:t xml:space="preserve"> dotyczącymi bezskuteczności czynności upadłego, nie oznacza że są one zakazane albo bezwzględnie nieważne. Wręcz przeciwnie – takie czynności dłużnika są ważne, jako że po powstaniu zobowiązania może on nadal rozporządzać swoim majątkiem</w:t>
      </w:r>
      <w:r w:rsidR="003D37E0">
        <w:rPr>
          <w:rFonts w:ascii="Times New Roman" w:eastAsia="Calibri" w:hAnsi="Times New Roman" w:cs="Times New Roman"/>
          <w:sz w:val="24"/>
          <w:szCs w:val="24"/>
        </w:rPr>
        <w:t>. Określone w przepisach PU</w:t>
      </w:r>
      <w:r w:rsidRPr="00A6583F">
        <w:rPr>
          <w:rFonts w:ascii="Times New Roman" w:eastAsia="Calibri" w:hAnsi="Times New Roman" w:cs="Times New Roman"/>
          <w:sz w:val="24"/>
          <w:szCs w:val="24"/>
        </w:rPr>
        <w:t xml:space="preserve"> czynności dłużnika mogą być jednak uznane za bezskuteczne, gdy w określonym czasie po ich dokonaniu zostanie złożony wniosek o ogłoszenie upadłości, a jego efektem będzie ogłoszenie upadłości podmiotu, który czynności takich dokonał. Nie ma przy tym co do zasady znaczenia, czy dokonanie tych czynności miało jakiś wpływ na ogłoszenie upadłości dłużnika, czy też nie było pomiędzy nimi związku. Nie jest również konieczne wykazanie, że zostały one zdziałane z pokrzywdzeniem wierzycieli. Takie czynności upadłego, są przy tym bezskuteczne jedynie w stosunku do masy upadłości – jest to zatem bezskuteczność względna</w:t>
      </w:r>
      <w:r w:rsidR="00960899">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w:t>
      </w:r>
      <w:r w:rsidR="006B3D72">
        <w:rPr>
          <w:rFonts w:ascii="Times New Roman" w:eastAsia="Calibri" w:hAnsi="Times New Roman" w:cs="Times New Roman"/>
          <w:sz w:val="24"/>
          <w:szCs w:val="24"/>
        </w:rPr>
        <w:t xml:space="preserve">Pozostają one natomiast skuteczne pomiędzy stronami takiej czynności. Skoro owe czynności prawne </w:t>
      </w:r>
      <w:r w:rsidRPr="00A6583F">
        <w:rPr>
          <w:rFonts w:ascii="Times New Roman" w:eastAsia="Calibri" w:hAnsi="Times New Roman" w:cs="Times New Roman"/>
          <w:sz w:val="24"/>
          <w:szCs w:val="24"/>
        </w:rPr>
        <w:t xml:space="preserve">nie tracą swojej skuteczności wobec upadłego, </w:t>
      </w:r>
      <w:r w:rsidR="006B3D72">
        <w:rPr>
          <w:rFonts w:ascii="Times New Roman" w:eastAsia="Calibri" w:hAnsi="Times New Roman" w:cs="Times New Roman"/>
          <w:sz w:val="24"/>
          <w:szCs w:val="24"/>
        </w:rPr>
        <w:t>można dochodzić</w:t>
      </w:r>
      <w:r w:rsidRPr="00A6583F">
        <w:rPr>
          <w:rFonts w:ascii="Times New Roman" w:eastAsia="Calibri" w:hAnsi="Times New Roman" w:cs="Times New Roman"/>
          <w:sz w:val="24"/>
          <w:szCs w:val="24"/>
        </w:rPr>
        <w:t xml:space="preserve"> wynikających z nich roszczeń w stosunku do upadłego po ukończeniu lub umorzeniu postępowania upadłościowego. Jak słusznie wskazuje </w:t>
      </w:r>
      <w:r w:rsidRPr="00960899">
        <w:rPr>
          <w:rFonts w:ascii="Times New Roman" w:eastAsia="Calibri" w:hAnsi="Times New Roman" w:cs="Times New Roman"/>
          <w:i/>
          <w:sz w:val="24"/>
          <w:szCs w:val="24"/>
        </w:rPr>
        <w:t>R. Adamus</w:t>
      </w:r>
      <w:r w:rsidRPr="00A6583F">
        <w:rPr>
          <w:rFonts w:ascii="Times New Roman" w:eastAsia="Calibri" w:hAnsi="Times New Roman" w:cs="Times New Roman"/>
          <w:sz w:val="24"/>
          <w:szCs w:val="24"/>
        </w:rPr>
        <w:t xml:space="preserve">, bezskuteczność hipoteki ujawnionej w księdze wieczystej względem masy upadłości nie powoduje jej wykreślenia z tej księgi. Pogląd ten, podzielany w pełni przez autora, należy rozciągnąć również na inne </w:t>
      </w:r>
      <w:r w:rsidRPr="00A6583F">
        <w:rPr>
          <w:rFonts w:ascii="Times New Roman" w:eastAsia="Calibri" w:hAnsi="Times New Roman" w:cs="Times New Roman"/>
          <w:sz w:val="24"/>
          <w:szCs w:val="24"/>
        </w:rPr>
        <w:lastRenderedPageBreak/>
        <w:t>prawa zastawnicze ujawniane w stosownych rejestrach (zastaw rejestrowy, zastaw skarbowy, hipotekę morską).</w:t>
      </w:r>
    </w:p>
    <w:p w:rsidR="00A6583F" w:rsidRPr="00A6583F" w:rsidRDefault="006B3D72"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 oparciu o przepisy PU wyróżnić należy trzy grupy przypadków bezskuteczności czynności prawnych upadłego</w:t>
      </w:r>
      <w:r w:rsidR="00E667B9">
        <w:rPr>
          <w:rFonts w:ascii="Times New Roman" w:eastAsia="Calibri" w:hAnsi="Times New Roman" w:cs="Times New Roman"/>
          <w:sz w:val="24"/>
          <w:szCs w:val="24"/>
        </w:rPr>
        <w:t xml:space="preserve">: </w:t>
      </w:r>
      <w:r w:rsidR="00A6583F" w:rsidRPr="00A6583F">
        <w:rPr>
          <w:rFonts w:ascii="Times New Roman" w:eastAsia="Calibri" w:hAnsi="Times New Roman" w:cs="Times New Roman"/>
          <w:sz w:val="24"/>
          <w:szCs w:val="24"/>
        </w:rPr>
        <w:t xml:space="preserve"> </w:t>
      </w:r>
    </w:p>
    <w:p w:rsidR="00A6583F" w:rsidRPr="00A6583F" w:rsidRDefault="006B3D72" w:rsidP="00A6583F">
      <w:pPr>
        <w:numPr>
          <w:ilvl w:val="0"/>
          <w:numId w:val="20"/>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Przypadki uznania czynności prawnej za bezskuteczną</w:t>
      </w:r>
      <w:r w:rsidR="00A6583F" w:rsidRPr="00A6583F">
        <w:rPr>
          <w:rFonts w:ascii="Times New Roman" w:eastAsia="Calibri" w:hAnsi="Times New Roman" w:cs="Times New Roman"/>
          <w:sz w:val="24"/>
          <w:szCs w:val="24"/>
        </w:rPr>
        <w:t xml:space="preserve"> z mocy samego prawa</w:t>
      </w:r>
      <w:r w:rsidR="003A1F5F">
        <w:rPr>
          <w:rFonts w:ascii="Times New Roman" w:eastAsia="Calibri" w:hAnsi="Times New Roman" w:cs="Times New Roman"/>
          <w:sz w:val="24"/>
          <w:szCs w:val="24"/>
        </w:rPr>
        <w:t xml:space="preserve"> - art</w:t>
      </w:r>
      <w:r w:rsidR="00960899">
        <w:rPr>
          <w:rFonts w:ascii="Times New Roman" w:eastAsia="Calibri" w:hAnsi="Times New Roman" w:cs="Times New Roman"/>
          <w:sz w:val="24"/>
          <w:szCs w:val="24"/>
        </w:rPr>
        <w:t>. 127 PU, 128</w:t>
      </w:r>
      <w:r w:rsidR="00447974">
        <w:rPr>
          <w:rFonts w:ascii="Times New Roman" w:eastAsia="Calibri" w:hAnsi="Times New Roman" w:cs="Times New Roman"/>
          <w:sz w:val="24"/>
          <w:szCs w:val="24"/>
        </w:rPr>
        <w:t>a PU</w:t>
      </w:r>
    </w:p>
    <w:p w:rsidR="00A6583F" w:rsidRPr="003A1F5F" w:rsidRDefault="006B3D72" w:rsidP="00A6583F">
      <w:pPr>
        <w:numPr>
          <w:ilvl w:val="0"/>
          <w:numId w:val="20"/>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Przypadki uznania czynności prawnej</w:t>
      </w:r>
      <w:r w:rsidR="00E667B9">
        <w:rPr>
          <w:rFonts w:ascii="Times New Roman" w:eastAsia="Calibri" w:hAnsi="Times New Roman" w:cs="Times New Roman"/>
          <w:sz w:val="24"/>
          <w:szCs w:val="24"/>
        </w:rPr>
        <w:t xml:space="preserve"> za bezskuteczną</w:t>
      </w:r>
      <w:r w:rsidR="00A6583F" w:rsidRPr="00A6583F">
        <w:rPr>
          <w:rFonts w:ascii="Times New Roman" w:eastAsia="Calibri" w:hAnsi="Times New Roman" w:cs="Times New Roman"/>
          <w:sz w:val="24"/>
          <w:szCs w:val="24"/>
        </w:rPr>
        <w:t xml:space="preserve"> </w:t>
      </w:r>
      <w:r>
        <w:rPr>
          <w:rFonts w:ascii="Times New Roman" w:eastAsia="Calibri" w:hAnsi="Times New Roman" w:cs="Times New Roman"/>
          <w:sz w:val="24"/>
          <w:szCs w:val="24"/>
        </w:rPr>
        <w:t>postanowieniem</w:t>
      </w:r>
      <w:r w:rsidR="00A6583F" w:rsidRPr="00A6583F">
        <w:rPr>
          <w:rFonts w:ascii="Times New Roman" w:eastAsia="Calibri" w:hAnsi="Times New Roman" w:cs="Times New Roman"/>
          <w:sz w:val="24"/>
          <w:szCs w:val="24"/>
        </w:rPr>
        <w:t xml:space="preserve"> sęd</w:t>
      </w:r>
      <w:r w:rsidR="003A1F5F">
        <w:rPr>
          <w:rFonts w:ascii="Times New Roman" w:eastAsia="Calibri" w:hAnsi="Times New Roman" w:cs="Times New Roman"/>
          <w:sz w:val="24"/>
          <w:szCs w:val="24"/>
        </w:rPr>
        <w:t xml:space="preserve">ziego-komisarza – </w:t>
      </w:r>
      <w:r w:rsidR="003A1F5F" w:rsidRPr="003A1F5F">
        <w:rPr>
          <w:rFonts w:ascii="Times New Roman" w:eastAsia="Calibri" w:hAnsi="Times New Roman" w:cs="Times New Roman"/>
          <w:sz w:val="24"/>
          <w:szCs w:val="24"/>
        </w:rPr>
        <w:t>art. 128 – 130a PU</w:t>
      </w:r>
    </w:p>
    <w:p w:rsidR="00A6583F" w:rsidRPr="00A6583F" w:rsidRDefault="006B3D72" w:rsidP="00A6583F">
      <w:pPr>
        <w:numPr>
          <w:ilvl w:val="0"/>
          <w:numId w:val="20"/>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Przypadki uznania czynności prawnej</w:t>
      </w:r>
      <w:r w:rsidR="00E667B9">
        <w:rPr>
          <w:rFonts w:ascii="Times New Roman" w:eastAsia="Calibri" w:hAnsi="Times New Roman" w:cs="Times New Roman"/>
          <w:sz w:val="24"/>
          <w:szCs w:val="24"/>
        </w:rPr>
        <w:t xml:space="preserve"> za bezskuteczną</w:t>
      </w:r>
      <w:r w:rsidR="00A6583F" w:rsidRPr="00A6583F">
        <w:rPr>
          <w:rFonts w:ascii="Times New Roman" w:eastAsia="Calibri" w:hAnsi="Times New Roman" w:cs="Times New Roman"/>
          <w:sz w:val="24"/>
          <w:szCs w:val="24"/>
        </w:rPr>
        <w:t xml:space="preserve"> orzeczeniem sądu, wskutek zaskarżenia czynności dłużnika na zasadach ogólnych (art. 527 i nast. KC</w:t>
      </w:r>
      <w:r>
        <w:rPr>
          <w:rFonts w:ascii="Times New Roman" w:eastAsia="Calibri" w:hAnsi="Times New Roman" w:cs="Times New Roman"/>
          <w:sz w:val="24"/>
          <w:szCs w:val="24"/>
        </w:rPr>
        <w:t xml:space="preserve"> – skarga </w:t>
      </w:r>
      <w:proofErr w:type="spellStart"/>
      <w:r>
        <w:rPr>
          <w:rFonts w:ascii="Times New Roman" w:eastAsia="Calibri" w:hAnsi="Times New Roman" w:cs="Times New Roman"/>
          <w:sz w:val="24"/>
          <w:szCs w:val="24"/>
        </w:rPr>
        <w:t>pauliańska</w:t>
      </w:r>
      <w:proofErr w:type="spellEnd"/>
      <w:r w:rsidR="00A6583F" w:rsidRPr="00A6583F">
        <w:rPr>
          <w:rFonts w:ascii="Times New Roman" w:eastAsia="Calibri" w:hAnsi="Times New Roman" w:cs="Times New Roman"/>
          <w:sz w:val="24"/>
          <w:szCs w:val="24"/>
        </w:rPr>
        <w:t>)</w:t>
      </w:r>
      <w:r w:rsidR="00E667B9">
        <w:rPr>
          <w:rFonts w:ascii="Times New Roman" w:eastAsia="Calibri" w:hAnsi="Times New Roman" w:cs="Times New Roman"/>
          <w:sz w:val="24"/>
          <w:szCs w:val="24"/>
        </w:rPr>
        <w:t>, do których odsyła art. 131 PU</w:t>
      </w:r>
      <w:r w:rsidR="00A6583F" w:rsidRPr="00A6583F">
        <w:rPr>
          <w:rFonts w:ascii="Times New Roman" w:eastAsia="Calibri" w:hAnsi="Times New Roman" w:cs="Times New Roman"/>
          <w:sz w:val="24"/>
          <w:szCs w:val="24"/>
        </w:rPr>
        <w:t xml:space="preserve">.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 </w:t>
      </w:r>
    </w:p>
    <w:p w:rsidR="00A6583F" w:rsidRPr="00A6583F" w:rsidRDefault="00A6583F" w:rsidP="00A6583F">
      <w:pPr>
        <w:spacing w:after="0" w:line="360" w:lineRule="auto"/>
        <w:ind w:left="284" w:hanging="284"/>
        <w:jc w:val="both"/>
        <w:rPr>
          <w:rFonts w:ascii="Times New Roman" w:eastAsia="Calibri" w:hAnsi="Times New Roman" w:cs="Times New Roman"/>
          <w:sz w:val="24"/>
          <w:szCs w:val="24"/>
        </w:rPr>
      </w:pPr>
      <w:r w:rsidRPr="00A6583F">
        <w:rPr>
          <w:rFonts w:ascii="Times New Roman" w:eastAsia="Calibri" w:hAnsi="Times New Roman" w:cs="Times New Roman"/>
          <w:b/>
          <w:sz w:val="24"/>
          <w:szCs w:val="24"/>
        </w:rPr>
        <w:t xml:space="preserve">3. </w:t>
      </w:r>
      <w:r w:rsidR="003D4F52">
        <w:rPr>
          <w:rFonts w:ascii="Times New Roman" w:eastAsia="Calibri" w:hAnsi="Times New Roman" w:cs="Times New Roman"/>
          <w:b/>
          <w:sz w:val="24"/>
          <w:szCs w:val="24"/>
        </w:rPr>
        <w:t>Czynności upadłego bezskuteczne</w:t>
      </w:r>
      <w:r w:rsidRPr="00A6583F">
        <w:rPr>
          <w:rFonts w:ascii="Times New Roman" w:eastAsia="Calibri" w:hAnsi="Times New Roman" w:cs="Times New Roman"/>
          <w:b/>
          <w:sz w:val="24"/>
          <w:szCs w:val="24"/>
        </w:rPr>
        <w:t xml:space="preserve"> z mocy prawa</w:t>
      </w:r>
    </w:p>
    <w:p w:rsidR="00A6583F" w:rsidRPr="00A6583F" w:rsidRDefault="00A6583F" w:rsidP="00A6583F">
      <w:pPr>
        <w:spacing w:after="0" w:line="360" w:lineRule="auto"/>
        <w:jc w:val="both"/>
        <w:rPr>
          <w:rFonts w:ascii="Times New Roman" w:eastAsia="Calibri" w:hAnsi="Times New Roman" w:cs="Times New Roman"/>
          <w:sz w:val="24"/>
          <w:szCs w:val="24"/>
        </w:rPr>
      </w:pPr>
    </w:p>
    <w:p w:rsidR="00A6583F" w:rsidRPr="00A6583F" w:rsidRDefault="00A6583F" w:rsidP="00A6583F">
      <w:pPr>
        <w:spacing w:after="0" w:line="360" w:lineRule="auto"/>
        <w:ind w:left="567" w:hanging="567"/>
        <w:jc w:val="both"/>
        <w:rPr>
          <w:rFonts w:ascii="Times New Roman" w:eastAsia="Calibri" w:hAnsi="Times New Roman" w:cs="Times New Roman"/>
          <w:b/>
          <w:sz w:val="24"/>
          <w:szCs w:val="24"/>
        </w:rPr>
      </w:pPr>
      <w:r w:rsidRPr="00A6583F">
        <w:rPr>
          <w:rFonts w:ascii="Times New Roman" w:eastAsia="Calibri" w:hAnsi="Times New Roman" w:cs="Times New Roman"/>
          <w:b/>
          <w:sz w:val="24"/>
          <w:szCs w:val="24"/>
        </w:rPr>
        <w:t xml:space="preserve">3.1. </w:t>
      </w:r>
      <w:r w:rsidR="00E667B9">
        <w:rPr>
          <w:rFonts w:ascii="Times New Roman" w:eastAsia="Calibri" w:hAnsi="Times New Roman" w:cs="Times New Roman"/>
          <w:b/>
          <w:sz w:val="24"/>
          <w:szCs w:val="24"/>
        </w:rPr>
        <w:t>Czynności upadłego bezskuteczne z mocy art. 127 ust. 1 i 2 PU</w:t>
      </w:r>
    </w:p>
    <w:p w:rsidR="00A6583F" w:rsidRPr="00A6583F" w:rsidRDefault="00A6583F" w:rsidP="00A6583F">
      <w:pPr>
        <w:spacing w:after="0" w:line="360" w:lineRule="auto"/>
        <w:jc w:val="both"/>
        <w:rPr>
          <w:rFonts w:ascii="Times New Roman" w:eastAsia="Calibri" w:hAnsi="Times New Roman" w:cs="Times New Roman"/>
          <w:sz w:val="24"/>
          <w:szCs w:val="24"/>
        </w:rPr>
      </w:pP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Prawną podstawę do uznania czynności prawnej upadłego za bezskuteczną</w:t>
      </w:r>
      <w:r w:rsidR="00E667B9">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w:t>
      </w:r>
      <w:r w:rsidR="00E667B9" w:rsidRPr="00A6583F">
        <w:rPr>
          <w:rFonts w:ascii="Times New Roman" w:eastAsia="Calibri" w:hAnsi="Times New Roman" w:cs="Times New Roman"/>
          <w:sz w:val="24"/>
          <w:szCs w:val="24"/>
        </w:rPr>
        <w:t>w stosunku do masy upadłości</w:t>
      </w:r>
      <w:r w:rsidR="00E667B9">
        <w:rPr>
          <w:rFonts w:ascii="Times New Roman" w:eastAsia="Calibri" w:hAnsi="Times New Roman" w:cs="Times New Roman"/>
          <w:sz w:val="24"/>
          <w:szCs w:val="24"/>
        </w:rPr>
        <w:t>,</w:t>
      </w:r>
      <w:r w:rsidR="00E667B9" w:rsidRPr="00A6583F">
        <w:rPr>
          <w:rFonts w:ascii="Times New Roman" w:eastAsia="Calibri" w:hAnsi="Times New Roman" w:cs="Times New Roman"/>
          <w:sz w:val="24"/>
          <w:szCs w:val="24"/>
        </w:rPr>
        <w:t xml:space="preserve"> </w:t>
      </w:r>
      <w:r w:rsidRPr="00A6583F">
        <w:rPr>
          <w:rFonts w:ascii="Times New Roman" w:eastAsia="Calibri" w:hAnsi="Times New Roman" w:cs="Times New Roman"/>
          <w:sz w:val="24"/>
          <w:szCs w:val="24"/>
        </w:rPr>
        <w:t>z mocy s</w:t>
      </w:r>
      <w:r w:rsidR="00E667B9">
        <w:rPr>
          <w:rFonts w:ascii="Times New Roman" w:eastAsia="Calibri" w:hAnsi="Times New Roman" w:cs="Times New Roman"/>
          <w:sz w:val="24"/>
          <w:szCs w:val="24"/>
        </w:rPr>
        <w:t>amego prawa stanowi art. 127 PU</w:t>
      </w:r>
      <w:r w:rsidRPr="00A6583F">
        <w:rPr>
          <w:rFonts w:ascii="Times New Roman" w:eastAsia="Calibri" w:hAnsi="Times New Roman" w:cs="Times New Roman"/>
          <w:sz w:val="24"/>
          <w:szCs w:val="24"/>
        </w:rPr>
        <w:t xml:space="preserve">. </w:t>
      </w:r>
      <w:r w:rsidR="00E667B9">
        <w:rPr>
          <w:rFonts w:ascii="Times New Roman" w:eastAsia="Calibri" w:hAnsi="Times New Roman" w:cs="Times New Roman"/>
          <w:sz w:val="24"/>
          <w:szCs w:val="24"/>
        </w:rPr>
        <w:t>Z</w:t>
      </w:r>
      <w:r w:rsidRPr="00A6583F">
        <w:rPr>
          <w:rFonts w:ascii="Times New Roman" w:eastAsia="Calibri" w:hAnsi="Times New Roman" w:cs="Times New Roman"/>
          <w:sz w:val="24"/>
          <w:szCs w:val="24"/>
        </w:rPr>
        <w:t>aznaczyć</w:t>
      </w:r>
      <w:r w:rsidR="00E667B9">
        <w:rPr>
          <w:rFonts w:ascii="Times New Roman" w:eastAsia="Calibri" w:hAnsi="Times New Roman" w:cs="Times New Roman"/>
          <w:sz w:val="24"/>
          <w:szCs w:val="24"/>
        </w:rPr>
        <w:t xml:space="preserve"> przy tym</w:t>
      </w:r>
      <w:r w:rsidRPr="00A6583F">
        <w:rPr>
          <w:rFonts w:ascii="Times New Roman" w:eastAsia="Calibri" w:hAnsi="Times New Roman" w:cs="Times New Roman"/>
          <w:sz w:val="24"/>
          <w:szCs w:val="24"/>
        </w:rPr>
        <w:t xml:space="preserve"> na wstępie należy, iż regulacje zawarte w tym przepisie odnoszą się tylko do czynności dłużnika dotyczących składników jego majątku wchodzących w skład masy upadłości, które dokonane przez niego zostały przed ogłoszeniem upadłości. Skuteczność czynności dokonywanych już po ogłoszeniu upadłości dłużnika rozpatrywana jest natomiast w kontekście omówionych </w:t>
      </w:r>
      <w:r w:rsidR="00E667B9">
        <w:rPr>
          <w:rFonts w:ascii="Times New Roman" w:eastAsia="Calibri" w:hAnsi="Times New Roman" w:cs="Times New Roman"/>
          <w:sz w:val="24"/>
          <w:szCs w:val="24"/>
        </w:rPr>
        <w:t>uprzednio</w:t>
      </w:r>
      <w:r w:rsidRPr="00A6583F">
        <w:rPr>
          <w:rFonts w:ascii="Times New Roman" w:eastAsia="Calibri" w:hAnsi="Times New Roman" w:cs="Times New Roman"/>
          <w:sz w:val="24"/>
          <w:szCs w:val="24"/>
        </w:rPr>
        <w:t xml:space="preserve"> przepisów regulujących kwestię zarządu majątkie</w:t>
      </w:r>
      <w:r w:rsidR="00E667B9">
        <w:rPr>
          <w:rFonts w:ascii="Times New Roman" w:eastAsia="Calibri" w:hAnsi="Times New Roman" w:cs="Times New Roman"/>
          <w:sz w:val="24"/>
          <w:szCs w:val="24"/>
        </w:rPr>
        <w:t>m upadłego oraz art. 81 i 82 PU</w:t>
      </w:r>
      <w:r w:rsidRPr="00A6583F">
        <w:rPr>
          <w:rFonts w:ascii="Times New Roman" w:eastAsia="Calibri" w:hAnsi="Times New Roman" w:cs="Times New Roman"/>
          <w:sz w:val="24"/>
          <w:szCs w:val="24"/>
        </w:rPr>
        <w:t>.</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Analizując bliżej kwestię bezskuteczności czynności upadłego, należy w pierwszym rzędzie zwrócić u</w:t>
      </w:r>
      <w:r w:rsidR="00E667B9">
        <w:rPr>
          <w:rFonts w:ascii="Times New Roman" w:eastAsia="Calibri" w:hAnsi="Times New Roman" w:cs="Times New Roman"/>
          <w:sz w:val="24"/>
          <w:szCs w:val="24"/>
        </w:rPr>
        <w:t>wagę na treść art. 127 ust 1 PU</w:t>
      </w:r>
      <w:r w:rsidRPr="00A6583F">
        <w:rPr>
          <w:rFonts w:ascii="Times New Roman" w:eastAsia="Calibri" w:hAnsi="Times New Roman" w:cs="Times New Roman"/>
          <w:sz w:val="24"/>
          <w:szCs w:val="24"/>
        </w:rPr>
        <w:t xml:space="preserve">, zgodnie z którym bezskuteczne w stosunku do masy upadłości są czynności prawne dokonane przez upadłego w ciągu roku przed dniem złożenia wniosku o ogłoszenie upadłości, którymi rozporządził on swoim majątkiem, jeżeli dokonane zostały nieodpłatnie albo odpłatnie, ale wartość świadczenia upadłego przewyższa w rażącym stopniu wartość świadczenia otrzymanego przez upadłego lub zastrzeżonego dla upadłego albo dla osoby trzeciej. Czynnościami, przez które dłużnik rozporządza swoim majątkiem, są również czynności polegające na obciążeniu jego prawa majątkowego - </w:t>
      </w:r>
      <w:r w:rsidR="00E667B9">
        <w:rPr>
          <w:rFonts w:ascii="Times New Roman" w:eastAsia="Calibri" w:hAnsi="Times New Roman" w:cs="Times New Roman"/>
          <w:sz w:val="24"/>
          <w:szCs w:val="24"/>
        </w:rPr>
        <w:t xml:space="preserve">również </w:t>
      </w:r>
      <w:r w:rsidRPr="00A6583F">
        <w:rPr>
          <w:rFonts w:ascii="Times New Roman" w:eastAsia="Calibri" w:hAnsi="Times New Roman" w:cs="Times New Roman"/>
          <w:sz w:val="24"/>
          <w:szCs w:val="24"/>
        </w:rPr>
        <w:t xml:space="preserve">ograniczonym prawem rzeczowym. </w:t>
      </w:r>
    </w:p>
    <w:p w:rsidR="00A6583F" w:rsidRPr="00A6583F" w:rsidRDefault="00E667B9"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Podstawową przesłanką decydującą o</w:t>
      </w:r>
      <w:r w:rsidR="00A6583F" w:rsidRPr="00A6583F">
        <w:rPr>
          <w:rFonts w:ascii="Times New Roman" w:eastAsia="Calibri" w:hAnsi="Times New Roman" w:cs="Times New Roman"/>
          <w:sz w:val="24"/>
          <w:szCs w:val="24"/>
        </w:rPr>
        <w:t xml:space="preserve"> bezskuteczności czynności prawnej upadłego</w:t>
      </w:r>
      <w:r>
        <w:rPr>
          <w:rFonts w:ascii="Times New Roman" w:eastAsia="Calibri" w:hAnsi="Times New Roman" w:cs="Times New Roman"/>
          <w:sz w:val="24"/>
          <w:szCs w:val="24"/>
        </w:rPr>
        <w:t xml:space="preserve"> w oparciu o art. 127 ust. 1 PU jest, jak wynika z jego treści,</w:t>
      </w:r>
      <w:r w:rsidR="00A6583F" w:rsidRPr="00A6583F">
        <w:rPr>
          <w:rFonts w:ascii="Times New Roman" w:eastAsia="Calibri" w:hAnsi="Times New Roman" w:cs="Times New Roman"/>
          <w:sz w:val="24"/>
          <w:szCs w:val="24"/>
        </w:rPr>
        <w:t xml:space="preserve"> nieodpłatność tej czynności, lub – w przypadku czynności odpłatnej – rażąca niewspółmierność odpłatności w stosunku do wartości świadczenia upadłego. Bezskuteczne w stosunku do masy upadłości są zatem zarówno </w:t>
      </w:r>
      <w:r w:rsidR="00A6583F" w:rsidRPr="006B3D72">
        <w:rPr>
          <w:rFonts w:ascii="Times New Roman" w:eastAsia="Calibri" w:hAnsi="Times New Roman" w:cs="Times New Roman"/>
          <w:b/>
          <w:sz w:val="24"/>
          <w:szCs w:val="24"/>
        </w:rPr>
        <w:t>czynności nieodpłatne</w:t>
      </w:r>
      <w:r w:rsidR="00A6583F" w:rsidRPr="00A6583F">
        <w:rPr>
          <w:rFonts w:ascii="Times New Roman" w:eastAsia="Calibri" w:hAnsi="Times New Roman" w:cs="Times New Roman"/>
          <w:sz w:val="24"/>
          <w:szCs w:val="24"/>
        </w:rPr>
        <w:t xml:space="preserve"> upadłego, jak i takie czynności odpłatne, w których wartość świadczenia upadłego w rażącym stopniu przewyższa wartość świadczenia przez niego otrzymanego (ewentualnie zastrzeżonego na rzecz upadłego lub osoby trzeciej), określane niekiedy jako </w:t>
      </w:r>
      <w:r w:rsidR="00A6583F" w:rsidRPr="006B3D72">
        <w:rPr>
          <w:rFonts w:ascii="Times New Roman" w:eastAsia="Calibri" w:hAnsi="Times New Roman" w:cs="Times New Roman"/>
          <w:b/>
          <w:sz w:val="24"/>
          <w:szCs w:val="24"/>
        </w:rPr>
        <w:t xml:space="preserve">czynności </w:t>
      </w:r>
      <w:proofErr w:type="spellStart"/>
      <w:r w:rsidR="00A6583F" w:rsidRPr="006B3D72">
        <w:rPr>
          <w:rFonts w:ascii="Times New Roman" w:eastAsia="Calibri" w:hAnsi="Times New Roman" w:cs="Times New Roman"/>
          <w:b/>
          <w:sz w:val="24"/>
          <w:szCs w:val="24"/>
        </w:rPr>
        <w:t>nieekwiwalentne</w:t>
      </w:r>
      <w:proofErr w:type="spellEnd"/>
      <w:r w:rsidR="00A6583F" w:rsidRPr="00A6583F">
        <w:rPr>
          <w:rFonts w:ascii="Times New Roman" w:eastAsia="Calibri" w:hAnsi="Times New Roman" w:cs="Times New Roman"/>
          <w:sz w:val="24"/>
          <w:szCs w:val="24"/>
        </w:rPr>
        <w:t>. Nie ma przy tym znaczenia, czy czynności takie były zdziałane ze świadomością pokrzywdzenia wierzycieli upadłego i czy druga strona o tym wiedziała. Przepis ten obejmuje zatem wszelkie czynności prowadzące do uzyskania przez inną osobę korzyści, bez uzyskania przez upadłego odpowiedniego ekwiwalentu (w ujęciu obiektywnym).</w:t>
      </w:r>
      <w:r w:rsidR="003D4F52" w:rsidRPr="003D4F52">
        <w:rPr>
          <w:rFonts w:ascii="Times New Roman" w:eastAsia="Calibri" w:hAnsi="Times New Roman" w:cs="Times New Roman"/>
          <w:sz w:val="24"/>
          <w:szCs w:val="24"/>
        </w:rPr>
        <w:t xml:space="preserve"> </w:t>
      </w:r>
      <w:r w:rsidR="003D4F52" w:rsidRPr="00A6583F">
        <w:rPr>
          <w:rFonts w:ascii="Times New Roman" w:eastAsia="Calibri" w:hAnsi="Times New Roman" w:cs="Times New Roman"/>
          <w:sz w:val="24"/>
          <w:szCs w:val="24"/>
        </w:rPr>
        <w:t xml:space="preserve">Bezskuteczność ta powstaje przy tym </w:t>
      </w:r>
      <w:r w:rsidR="003D4F52" w:rsidRPr="00A6583F">
        <w:rPr>
          <w:rFonts w:ascii="Times New Roman" w:eastAsia="Calibri" w:hAnsi="Times New Roman" w:cs="Times New Roman"/>
          <w:i/>
          <w:sz w:val="24"/>
          <w:szCs w:val="24"/>
        </w:rPr>
        <w:t xml:space="preserve">ex </w:t>
      </w:r>
      <w:proofErr w:type="spellStart"/>
      <w:r w:rsidR="003D4F52" w:rsidRPr="00A6583F">
        <w:rPr>
          <w:rFonts w:ascii="Times New Roman" w:eastAsia="Calibri" w:hAnsi="Times New Roman" w:cs="Times New Roman"/>
          <w:i/>
          <w:sz w:val="24"/>
          <w:szCs w:val="24"/>
        </w:rPr>
        <w:t>lege</w:t>
      </w:r>
      <w:proofErr w:type="spellEnd"/>
      <w:r w:rsidR="003D4F52" w:rsidRPr="00A6583F">
        <w:rPr>
          <w:rFonts w:ascii="Times New Roman" w:eastAsia="Calibri" w:hAnsi="Times New Roman" w:cs="Times New Roman"/>
          <w:sz w:val="24"/>
          <w:szCs w:val="24"/>
        </w:rPr>
        <w:t xml:space="preserve"> już z chwilą ogłoszenia upadłości dłużnika</w:t>
      </w:r>
      <w:r w:rsidR="003D4F52">
        <w:rPr>
          <w:rFonts w:ascii="Times New Roman" w:eastAsia="Calibri" w:hAnsi="Times New Roman" w:cs="Times New Roman"/>
          <w:sz w:val="24"/>
          <w:szCs w:val="24"/>
        </w:rPr>
        <w:t>.</w:t>
      </w:r>
    </w:p>
    <w:p w:rsidR="00A6583F" w:rsidRPr="00A6583F" w:rsidRDefault="003D4F52"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Artykuł 127 ust. 1 PU</w:t>
      </w:r>
      <w:r w:rsidR="00A6583F" w:rsidRPr="00A6583F">
        <w:rPr>
          <w:rFonts w:ascii="Times New Roman" w:eastAsia="Calibri" w:hAnsi="Times New Roman" w:cs="Times New Roman"/>
          <w:sz w:val="24"/>
          <w:szCs w:val="24"/>
        </w:rPr>
        <w:t xml:space="preserve"> określa również ramy czasowe, w których mieścić się musi taka nieodpłatna (lub odpłatna, ale obarczona rażącą niewspółmiernością świadczeń) czynność prawna upadłego, by była ona bezskuteczna w stosunku do masy upadłości. W obydwu przypadkach bezskuteczne są jedynie </w:t>
      </w:r>
      <w:r w:rsidR="00A6583F" w:rsidRPr="006B3D72">
        <w:rPr>
          <w:rFonts w:ascii="Times New Roman" w:eastAsia="Calibri" w:hAnsi="Times New Roman" w:cs="Times New Roman"/>
          <w:b/>
          <w:sz w:val="24"/>
          <w:szCs w:val="24"/>
        </w:rPr>
        <w:t>czynności dokonane przez dłużnika w ciągu roku przed dniem złożenia wniosku o ogłoszenie jego upadłości</w:t>
      </w:r>
      <w:r w:rsidR="00A6583F" w:rsidRPr="00A6583F">
        <w:rPr>
          <w:rFonts w:ascii="Times New Roman" w:eastAsia="Calibri" w:hAnsi="Times New Roman" w:cs="Times New Roman"/>
          <w:sz w:val="24"/>
          <w:szCs w:val="24"/>
        </w:rPr>
        <w:t>. Roc</w:t>
      </w:r>
      <w:r>
        <w:rPr>
          <w:rFonts w:ascii="Times New Roman" w:eastAsia="Calibri" w:hAnsi="Times New Roman" w:cs="Times New Roman"/>
          <w:sz w:val="24"/>
          <w:szCs w:val="24"/>
        </w:rPr>
        <w:t>zny termin z art. 127 ust. 1 PU</w:t>
      </w:r>
      <w:r w:rsidR="00A6583F" w:rsidRPr="00A6583F">
        <w:rPr>
          <w:rFonts w:ascii="Times New Roman" w:eastAsia="Calibri" w:hAnsi="Times New Roman" w:cs="Times New Roman"/>
          <w:sz w:val="24"/>
          <w:szCs w:val="24"/>
        </w:rPr>
        <w:t xml:space="preserve"> ma przy tym charakter </w:t>
      </w:r>
      <w:proofErr w:type="spellStart"/>
      <w:r w:rsidR="00A6583F" w:rsidRPr="00A6583F">
        <w:rPr>
          <w:rFonts w:ascii="Times New Roman" w:eastAsia="Calibri" w:hAnsi="Times New Roman" w:cs="Times New Roman"/>
          <w:sz w:val="24"/>
          <w:szCs w:val="24"/>
        </w:rPr>
        <w:t>materialnoprawny</w:t>
      </w:r>
      <w:proofErr w:type="spellEnd"/>
      <w:r w:rsidR="00A6583F" w:rsidRPr="00A6583F">
        <w:rPr>
          <w:rFonts w:ascii="Times New Roman" w:eastAsia="Calibri" w:hAnsi="Times New Roman" w:cs="Times New Roman"/>
          <w:sz w:val="24"/>
          <w:szCs w:val="24"/>
        </w:rPr>
        <w:t xml:space="preserve">, a zatem obliczany jest w sposób określony w przepisach KC, w szczególności w </w:t>
      </w:r>
      <w:proofErr w:type="spellStart"/>
      <w:r w:rsidR="00A6583F" w:rsidRPr="00A6583F">
        <w:rPr>
          <w:rFonts w:ascii="Times New Roman" w:eastAsia="Calibri" w:hAnsi="Times New Roman" w:cs="Times New Roman"/>
          <w:sz w:val="24"/>
          <w:szCs w:val="24"/>
        </w:rPr>
        <w:t>zd</w:t>
      </w:r>
      <w:proofErr w:type="spellEnd"/>
      <w:r w:rsidR="00A6583F" w:rsidRPr="00A6583F">
        <w:rPr>
          <w:rFonts w:ascii="Times New Roman" w:eastAsia="Calibri" w:hAnsi="Times New Roman" w:cs="Times New Roman"/>
          <w:sz w:val="24"/>
          <w:szCs w:val="24"/>
        </w:rPr>
        <w:t>. 1 art. 112 KC, zgodnie z którym termin oznaczony w latach kończy się z upływem dnia, który datą odpowiada początkowemu dniowi terminu. Nie ma przy tym znaczenia, czy wniosek o ogłoszenie upadłości był złożony przez samego dłużnika, przez któregoś z jego wierzycieli, czy też przez inny z uprawnionych podmiotów. Czynności prawne dokonane przez dłużnika wcześniej niż w ciągu roku przed dniem złożenia wniosku o ogłoszenie jego upadłości</w:t>
      </w:r>
      <w:r>
        <w:rPr>
          <w:rFonts w:ascii="Times New Roman" w:eastAsia="Calibri" w:hAnsi="Times New Roman" w:cs="Times New Roman"/>
          <w:sz w:val="24"/>
          <w:szCs w:val="24"/>
        </w:rPr>
        <w:t xml:space="preserve"> są zatem skuteczne wobec masy upadłości, nawet gdy</w:t>
      </w:r>
      <w:r w:rsidR="00A6583F" w:rsidRPr="00A6583F">
        <w:rPr>
          <w:rFonts w:ascii="Times New Roman" w:eastAsia="Calibri" w:hAnsi="Times New Roman" w:cs="Times New Roman"/>
          <w:sz w:val="24"/>
          <w:szCs w:val="24"/>
        </w:rPr>
        <w:t xml:space="preserve"> miały charakter nieodpłatny.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3D4F52">
        <w:rPr>
          <w:rFonts w:ascii="Times New Roman" w:eastAsia="Calibri" w:hAnsi="Times New Roman" w:cs="Times New Roman"/>
          <w:sz w:val="24"/>
          <w:szCs w:val="24"/>
        </w:rPr>
        <w:t>Zgodnie z art. 127 ust. 2 PU</w:t>
      </w:r>
      <w:r w:rsidRPr="00A6583F">
        <w:rPr>
          <w:rFonts w:ascii="Times New Roman" w:eastAsia="Calibri" w:hAnsi="Times New Roman" w:cs="Times New Roman"/>
          <w:sz w:val="24"/>
          <w:szCs w:val="24"/>
        </w:rPr>
        <w:t>, przepis ust. 1 stosuje się odpowiednio do ugody sądowej, uznania powództwa i zrzeczenia się roszczenia – a zatem do czynności prawa procesowego. W przypadku zaistnienia p</w:t>
      </w:r>
      <w:r w:rsidR="003D4F52">
        <w:rPr>
          <w:rFonts w:ascii="Times New Roman" w:eastAsia="Calibri" w:hAnsi="Times New Roman" w:cs="Times New Roman"/>
          <w:sz w:val="24"/>
          <w:szCs w:val="24"/>
        </w:rPr>
        <w:t>rzesłanek z art. 127 ust. 1  PU czynności takie</w:t>
      </w:r>
      <w:r w:rsidR="00C868C0">
        <w:rPr>
          <w:rFonts w:ascii="Times New Roman" w:eastAsia="Calibri" w:hAnsi="Times New Roman" w:cs="Times New Roman"/>
          <w:sz w:val="24"/>
          <w:szCs w:val="24"/>
        </w:rPr>
        <w:t xml:space="preserve"> również </w:t>
      </w:r>
      <w:r w:rsidRPr="00A6583F">
        <w:rPr>
          <w:rFonts w:ascii="Times New Roman" w:eastAsia="Calibri" w:hAnsi="Times New Roman" w:cs="Times New Roman"/>
          <w:sz w:val="24"/>
          <w:szCs w:val="24"/>
        </w:rPr>
        <w:t>są bezskutecz</w:t>
      </w:r>
      <w:r w:rsidR="003D4F52">
        <w:rPr>
          <w:rFonts w:ascii="Times New Roman" w:eastAsia="Calibri" w:hAnsi="Times New Roman" w:cs="Times New Roman"/>
          <w:sz w:val="24"/>
          <w:szCs w:val="24"/>
        </w:rPr>
        <w:t>ne w stosunku do masy upadłości, przy czym i</w:t>
      </w:r>
      <w:r w:rsidRPr="00A6583F">
        <w:rPr>
          <w:rFonts w:ascii="Times New Roman" w:eastAsia="Calibri" w:hAnsi="Times New Roman" w:cs="Times New Roman"/>
          <w:sz w:val="24"/>
          <w:szCs w:val="24"/>
        </w:rPr>
        <w:t xml:space="preserve">ch bezskuteczność </w:t>
      </w:r>
      <w:r w:rsidR="003D4F52">
        <w:rPr>
          <w:rFonts w:ascii="Times New Roman" w:eastAsia="Calibri" w:hAnsi="Times New Roman" w:cs="Times New Roman"/>
          <w:sz w:val="24"/>
          <w:szCs w:val="24"/>
        </w:rPr>
        <w:t xml:space="preserve">odnosi się </w:t>
      </w:r>
      <w:r w:rsidRPr="00A6583F">
        <w:rPr>
          <w:rFonts w:ascii="Times New Roman" w:eastAsia="Calibri" w:hAnsi="Times New Roman" w:cs="Times New Roman"/>
          <w:sz w:val="24"/>
          <w:szCs w:val="24"/>
        </w:rPr>
        <w:t xml:space="preserve">jedynie do </w:t>
      </w:r>
      <w:proofErr w:type="spellStart"/>
      <w:r w:rsidRPr="00A6583F">
        <w:rPr>
          <w:rFonts w:ascii="Times New Roman" w:eastAsia="Calibri" w:hAnsi="Times New Roman" w:cs="Times New Roman"/>
          <w:sz w:val="24"/>
          <w:szCs w:val="24"/>
        </w:rPr>
        <w:t>materialnoprawnych</w:t>
      </w:r>
      <w:proofErr w:type="spellEnd"/>
      <w:r w:rsidRPr="00A6583F">
        <w:rPr>
          <w:rFonts w:ascii="Times New Roman" w:eastAsia="Calibri" w:hAnsi="Times New Roman" w:cs="Times New Roman"/>
          <w:sz w:val="24"/>
          <w:szCs w:val="24"/>
        </w:rPr>
        <w:t xml:space="preserve"> skutków takich czynności.     </w:t>
      </w:r>
    </w:p>
    <w:p w:rsid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p>
    <w:p w:rsidR="006B3D72" w:rsidRDefault="006B3D72" w:rsidP="00A6583F">
      <w:pPr>
        <w:spacing w:after="0" w:line="360" w:lineRule="auto"/>
        <w:jc w:val="both"/>
        <w:rPr>
          <w:rFonts w:ascii="Times New Roman" w:eastAsia="Calibri" w:hAnsi="Times New Roman" w:cs="Times New Roman"/>
          <w:sz w:val="24"/>
          <w:szCs w:val="24"/>
        </w:rPr>
      </w:pPr>
    </w:p>
    <w:p w:rsidR="006B3D72" w:rsidRPr="00A6583F" w:rsidRDefault="006B3D72" w:rsidP="00A6583F">
      <w:pPr>
        <w:spacing w:after="0" w:line="360" w:lineRule="auto"/>
        <w:jc w:val="both"/>
        <w:rPr>
          <w:rFonts w:ascii="Times New Roman" w:eastAsia="Calibri" w:hAnsi="Times New Roman" w:cs="Times New Roman"/>
          <w:sz w:val="24"/>
          <w:szCs w:val="24"/>
        </w:rPr>
      </w:pPr>
    </w:p>
    <w:p w:rsidR="00A6583F" w:rsidRPr="00A6583F" w:rsidRDefault="00A6583F" w:rsidP="00A6583F">
      <w:pPr>
        <w:spacing w:after="0" w:line="360" w:lineRule="auto"/>
        <w:ind w:left="567" w:hanging="567"/>
        <w:jc w:val="both"/>
        <w:rPr>
          <w:rFonts w:ascii="Times New Roman" w:eastAsia="Calibri" w:hAnsi="Times New Roman" w:cs="Times New Roman"/>
          <w:b/>
          <w:sz w:val="24"/>
          <w:szCs w:val="24"/>
        </w:rPr>
      </w:pPr>
      <w:r w:rsidRPr="00A6583F">
        <w:rPr>
          <w:rFonts w:ascii="Times New Roman" w:eastAsia="Calibri" w:hAnsi="Times New Roman" w:cs="Times New Roman"/>
          <w:b/>
          <w:sz w:val="24"/>
          <w:szCs w:val="24"/>
        </w:rPr>
        <w:lastRenderedPageBreak/>
        <w:t xml:space="preserve">3.2. </w:t>
      </w:r>
      <w:r w:rsidR="003D4F52">
        <w:rPr>
          <w:rFonts w:ascii="Times New Roman" w:eastAsia="Calibri" w:hAnsi="Times New Roman" w:cs="Times New Roman"/>
          <w:b/>
          <w:sz w:val="24"/>
          <w:szCs w:val="24"/>
        </w:rPr>
        <w:t>Czynności upadłego bezskuteczne z mocy art. 127 ust. 3 PU</w:t>
      </w:r>
    </w:p>
    <w:p w:rsidR="00A6583F" w:rsidRPr="00A6583F" w:rsidRDefault="00A6583F" w:rsidP="00A6583F">
      <w:pPr>
        <w:spacing w:after="0" w:line="360" w:lineRule="auto"/>
        <w:jc w:val="both"/>
        <w:rPr>
          <w:rFonts w:ascii="Times New Roman" w:eastAsia="Calibri" w:hAnsi="Times New Roman" w:cs="Times New Roman"/>
          <w:sz w:val="24"/>
          <w:szCs w:val="24"/>
        </w:rPr>
      </w:pPr>
    </w:p>
    <w:p w:rsidR="00A6583F" w:rsidRPr="00A6583F" w:rsidRDefault="003D4F52"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127 ust. 3 PU</w:t>
      </w:r>
      <w:r w:rsidR="00A6583F" w:rsidRPr="00A6583F">
        <w:rPr>
          <w:rFonts w:ascii="Times New Roman" w:eastAsia="Calibri" w:hAnsi="Times New Roman" w:cs="Times New Roman"/>
          <w:sz w:val="24"/>
          <w:szCs w:val="24"/>
        </w:rPr>
        <w:t xml:space="preserve">, bezskuteczne są </w:t>
      </w:r>
      <w:r w:rsidR="00A6583F" w:rsidRPr="00B027A1">
        <w:rPr>
          <w:rFonts w:ascii="Times New Roman" w:eastAsia="Calibri" w:hAnsi="Times New Roman" w:cs="Times New Roman"/>
          <w:b/>
          <w:sz w:val="24"/>
          <w:szCs w:val="24"/>
        </w:rPr>
        <w:t>zabezpieczenie i zapłata długu niewymagalnego</w:t>
      </w:r>
      <w:r w:rsidR="00A6583F" w:rsidRPr="00A6583F">
        <w:rPr>
          <w:rFonts w:ascii="Times New Roman" w:eastAsia="Calibri" w:hAnsi="Times New Roman" w:cs="Times New Roman"/>
          <w:sz w:val="24"/>
          <w:szCs w:val="24"/>
        </w:rPr>
        <w:t xml:space="preserve"> dokonane przez upadłego </w:t>
      </w:r>
      <w:r w:rsidR="00A6583F" w:rsidRPr="00B027A1">
        <w:rPr>
          <w:rFonts w:ascii="Times New Roman" w:eastAsia="Calibri" w:hAnsi="Times New Roman" w:cs="Times New Roman"/>
          <w:b/>
          <w:sz w:val="24"/>
          <w:szCs w:val="24"/>
        </w:rPr>
        <w:t xml:space="preserve">w </w:t>
      </w:r>
      <w:r w:rsidRPr="00B027A1">
        <w:rPr>
          <w:rFonts w:ascii="Times New Roman" w:eastAsia="Calibri" w:hAnsi="Times New Roman" w:cs="Times New Roman"/>
          <w:b/>
          <w:sz w:val="24"/>
          <w:szCs w:val="24"/>
        </w:rPr>
        <w:t>ciągu sześciu</w:t>
      </w:r>
      <w:r w:rsidR="00A6583F" w:rsidRPr="00B027A1">
        <w:rPr>
          <w:rFonts w:ascii="Times New Roman" w:eastAsia="Calibri" w:hAnsi="Times New Roman" w:cs="Times New Roman"/>
          <w:b/>
          <w:sz w:val="24"/>
          <w:szCs w:val="24"/>
        </w:rPr>
        <w:t xml:space="preserve"> miesięcy przed dniem złożenia wniosku o ogłoszenie upadłości.</w:t>
      </w:r>
      <w:r w:rsidR="00A6583F" w:rsidRPr="00A6583F">
        <w:rPr>
          <w:rFonts w:ascii="Times New Roman" w:eastAsia="Calibri" w:hAnsi="Times New Roman" w:cs="Times New Roman"/>
          <w:sz w:val="24"/>
          <w:szCs w:val="24"/>
        </w:rPr>
        <w:t xml:space="preserve"> Czynności te, tak jak w przypadkach uregulo</w:t>
      </w:r>
      <w:r>
        <w:rPr>
          <w:rFonts w:ascii="Times New Roman" w:eastAsia="Calibri" w:hAnsi="Times New Roman" w:cs="Times New Roman"/>
          <w:sz w:val="24"/>
          <w:szCs w:val="24"/>
        </w:rPr>
        <w:t>wanych w art. 127 ust. 1 i 2 PU</w:t>
      </w:r>
      <w:r w:rsidR="00A6583F" w:rsidRPr="00A6583F">
        <w:rPr>
          <w:rFonts w:ascii="Times New Roman" w:eastAsia="Calibri" w:hAnsi="Times New Roman" w:cs="Times New Roman"/>
          <w:sz w:val="24"/>
          <w:szCs w:val="24"/>
        </w:rPr>
        <w:t xml:space="preserve">, są w stosunku do masy upadłości bezskuteczne z mocy samego prawa. Przepis ten dotyczy przy tym jedynie sytuacji gdy następuje zabezpieczenie lub zapłata przez upadłego niewymagalnego długu samego upadłego. </w:t>
      </w:r>
      <w:r>
        <w:rPr>
          <w:rFonts w:ascii="Times New Roman" w:eastAsia="Calibri" w:hAnsi="Times New Roman" w:cs="Times New Roman"/>
          <w:sz w:val="24"/>
          <w:szCs w:val="24"/>
        </w:rPr>
        <w:t xml:space="preserve">Jak słusznie </w:t>
      </w:r>
      <w:r w:rsidRPr="00A6583F">
        <w:rPr>
          <w:rFonts w:ascii="Times New Roman" w:eastAsia="Calibri" w:hAnsi="Times New Roman" w:cs="Times New Roman"/>
          <w:sz w:val="24"/>
          <w:szCs w:val="24"/>
        </w:rPr>
        <w:t xml:space="preserve">wskazuje </w:t>
      </w:r>
      <w:r w:rsidRPr="00795752">
        <w:rPr>
          <w:rFonts w:ascii="Times New Roman" w:eastAsia="Calibri" w:hAnsi="Times New Roman" w:cs="Times New Roman"/>
          <w:i/>
          <w:sz w:val="24"/>
          <w:szCs w:val="24"/>
        </w:rPr>
        <w:t>Z. Świeboda</w:t>
      </w:r>
      <w:r>
        <w:rPr>
          <w:rFonts w:ascii="Times New Roman" w:eastAsia="Calibri" w:hAnsi="Times New Roman" w:cs="Times New Roman"/>
          <w:sz w:val="24"/>
          <w:szCs w:val="24"/>
        </w:rPr>
        <w:t>,</w:t>
      </w:r>
      <w:r w:rsidR="00A6583F" w:rsidRPr="00A6583F">
        <w:rPr>
          <w:rFonts w:ascii="Times New Roman" w:eastAsia="Calibri" w:hAnsi="Times New Roman" w:cs="Times New Roman"/>
          <w:sz w:val="24"/>
          <w:szCs w:val="24"/>
        </w:rPr>
        <w:t xml:space="preserve"> art. 127 ust. 3 PUN dotyczy tylko zabezpieczenia dokonanego z majątku upadłego – a zatem prawa zastawnicze ustanowione na zabezpieczenie wierzytelności wobec przyszłego upadłego na mieniu osoby trzeciej są skuteczne. W doktrynie, jak i w orzecznictwie dominuje ponadto zgodny pogląd, iż </w:t>
      </w:r>
      <w:r w:rsidR="00A6583F" w:rsidRPr="00B027A1">
        <w:rPr>
          <w:rFonts w:ascii="Times New Roman" w:eastAsia="Calibri" w:hAnsi="Times New Roman" w:cs="Times New Roman"/>
          <w:b/>
          <w:sz w:val="24"/>
          <w:szCs w:val="24"/>
        </w:rPr>
        <w:t>przepis ten nie znajduje zastosowania w przypadkach, gdy zabezpieczenie długu ustanawiane jest już w chwili zaciągnięcia zobowiązania przez przyszłego upadłego</w:t>
      </w:r>
      <w:r w:rsidR="00A6583F" w:rsidRPr="00A6583F">
        <w:rPr>
          <w:rFonts w:ascii="Times New Roman" w:eastAsia="Calibri" w:hAnsi="Times New Roman" w:cs="Times New Roman"/>
          <w:sz w:val="24"/>
          <w:szCs w:val="24"/>
        </w:rPr>
        <w:t xml:space="preserve">. Stanowisko to niewątpliwie należy uznać za słuszne. Podzielił je również Sąd Najwyższy, stwierdzając w uzasadnieniu </w:t>
      </w:r>
      <w:r w:rsidR="00795752">
        <w:rPr>
          <w:rFonts w:ascii="Times New Roman" w:eastAsia="Calibri" w:hAnsi="Times New Roman" w:cs="Times New Roman"/>
          <w:sz w:val="24"/>
          <w:szCs w:val="24"/>
        </w:rPr>
        <w:t>wyroku</w:t>
      </w:r>
      <w:r w:rsidRPr="003D4F52">
        <w:rPr>
          <w:rFonts w:ascii="Times New Roman" w:eastAsia="Calibri" w:hAnsi="Times New Roman" w:cs="Times New Roman"/>
          <w:sz w:val="24"/>
          <w:szCs w:val="24"/>
        </w:rPr>
        <w:t xml:space="preserve"> z dnia 20 marca 2002 r. , V CKN 888/70, OSNC 2003, nr 3, poz. 39</w:t>
      </w:r>
      <w:r w:rsidR="00795752">
        <w:rPr>
          <w:rFonts w:ascii="Times New Roman" w:eastAsia="Calibri" w:hAnsi="Times New Roman" w:cs="Times New Roman"/>
          <w:sz w:val="24"/>
          <w:szCs w:val="24"/>
        </w:rPr>
        <w:t>, iż w art. 127 ust. 3 PU</w:t>
      </w:r>
      <w:r w:rsidR="00A6583F" w:rsidRPr="00A6583F">
        <w:rPr>
          <w:rFonts w:ascii="Times New Roman" w:eastAsia="Calibri" w:hAnsi="Times New Roman" w:cs="Times New Roman"/>
          <w:sz w:val="24"/>
          <w:szCs w:val="24"/>
        </w:rPr>
        <w:t xml:space="preserve"> chodzi o sytuację, w której doszło do ustanowienia późniejszego zabezpieczenia dla umocnienia istniejącego już wcześniej i niewymagalnego zadłużenia upadłego. Podnosi się również słusznie, że bezskuteczność zabezpieczenia nie dotyczy długów przyszłych. Za skuteczne, jak trafnie wskazuje </w:t>
      </w:r>
      <w:r w:rsidR="00A6583F" w:rsidRPr="00A6583F">
        <w:rPr>
          <w:rFonts w:ascii="Times New Roman" w:eastAsia="Calibri" w:hAnsi="Times New Roman" w:cs="Times New Roman"/>
          <w:i/>
          <w:sz w:val="24"/>
          <w:szCs w:val="24"/>
        </w:rPr>
        <w:t xml:space="preserve">A. </w:t>
      </w:r>
      <w:proofErr w:type="spellStart"/>
      <w:r w:rsidR="00A6583F" w:rsidRPr="00A6583F">
        <w:rPr>
          <w:rFonts w:ascii="Times New Roman" w:eastAsia="Calibri" w:hAnsi="Times New Roman" w:cs="Times New Roman"/>
          <w:i/>
          <w:sz w:val="24"/>
          <w:szCs w:val="24"/>
        </w:rPr>
        <w:t>Jakubecki</w:t>
      </w:r>
      <w:proofErr w:type="spellEnd"/>
      <w:r w:rsidR="00A6583F" w:rsidRPr="00A6583F">
        <w:rPr>
          <w:rFonts w:ascii="Times New Roman" w:eastAsia="Calibri" w:hAnsi="Times New Roman" w:cs="Times New Roman"/>
          <w:sz w:val="24"/>
          <w:szCs w:val="24"/>
        </w:rPr>
        <w:t xml:space="preserve">, należy również uznać dokonane przez przyszłego upadłego zapłatę lub zabezpieczenie długu wymagalnego, choćby nastąpiły w terminie krótszym niż </w:t>
      </w:r>
      <w:r w:rsidR="00795752">
        <w:rPr>
          <w:rFonts w:ascii="Times New Roman" w:eastAsia="Calibri" w:hAnsi="Times New Roman" w:cs="Times New Roman"/>
          <w:sz w:val="24"/>
          <w:szCs w:val="24"/>
        </w:rPr>
        <w:t>sześć miesięcy</w:t>
      </w:r>
      <w:r w:rsidR="00A6583F" w:rsidRPr="00A6583F">
        <w:rPr>
          <w:rFonts w:ascii="Times New Roman" w:eastAsia="Calibri" w:hAnsi="Times New Roman" w:cs="Times New Roman"/>
          <w:sz w:val="24"/>
          <w:szCs w:val="24"/>
        </w:rPr>
        <w:t xml:space="preserve"> przed </w:t>
      </w:r>
      <w:r w:rsidR="00795752">
        <w:rPr>
          <w:rFonts w:ascii="Times New Roman" w:eastAsia="Calibri" w:hAnsi="Times New Roman" w:cs="Times New Roman"/>
          <w:sz w:val="24"/>
          <w:szCs w:val="24"/>
        </w:rPr>
        <w:t>dniem złożenia wniosku o ogłoszenie</w:t>
      </w:r>
      <w:r w:rsidR="00A6583F" w:rsidRPr="00A6583F">
        <w:rPr>
          <w:rFonts w:ascii="Times New Roman" w:eastAsia="Calibri" w:hAnsi="Times New Roman" w:cs="Times New Roman"/>
          <w:sz w:val="24"/>
          <w:szCs w:val="24"/>
        </w:rPr>
        <w:t xml:space="preserve"> upadłości. Podsumowując powyższe rozważania, uznać należy, że art. 127 ust. 3 PUN swoim zakresem stosowania obejmuje </w:t>
      </w:r>
      <w:r w:rsidR="00A6583F" w:rsidRPr="00B027A1">
        <w:rPr>
          <w:rFonts w:ascii="Times New Roman" w:eastAsia="Calibri" w:hAnsi="Times New Roman" w:cs="Times New Roman"/>
          <w:b/>
          <w:sz w:val="24"/>
          <w:szCs w:val="24"/>
        </w:rPr>
        <w:t xml:space="preserve">jedynie sytuacje, gdy już po powstaniu zobowiązania doszło do jego zabezpieczenia lub zapłaty przed terminem wymagalności i zarazem w terminie do </w:t>
      </w:r>
      <w:r w:rsidR="00795752" w:rsidRPr="00B027A1">
        <w:rPr>
          <w:rFonts w:ascii="Times New Roman" w:eastAsia="Calibri" w:hAnsi="Times New Roman" w:cs="Times New Roman"/>
          <w:b/>
          <w:sz w:val="24"/>
          <w:szCs w:val="24"/>
        </w:rPr>
        <w:t>sześciu</w:t>
      </w:r>
      <w:r w:rsidR="00A6583F" w:rsidRPr="00B027A1">
        <w:rPr>
          <w:rFonts w:ascii="Times New Roman" w:eastAsia="Calibri" w:hAnsi="Times New Roman" w:cs="Times New Roman"/>
          <w:b/>
          <w:sz w:val="24"/>
          <w:szCs w:val="24"/>
        </w:rPr>
        <w:t xml:space="preserve"> miesięcy przed złożeniem wniosku o ogłoszenie upadłości danego dłużnika</w:t>
      </w:r>
      <w:r w:rsidR="00A6583F" w:rsidRPr="00A6583F">
        <w:rPr>
          <w:rFonts w:ascii="Times New Roman" w:eastAsia="Calibri" w:hAnsi="Times New Roman" w:cs="Times New Roman"/>
          <w:sz w:val="24"/>
          <w:szCs w:val="24"/>
        </w:rPr>
        <w:t xml:space="preserve">.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795752">
        <w:rPr>
          <w:rFonts w:ascii="Times New Roman" w:eastAsia="Calibri" w:hAnsi="Times New Roman" w:cs="Times New Roman"/>
          <w:sz w:val="24"/>
          <w:szCs w:val="24"/>
        </w:rPr>
        <w:t>P</w:t>
      </w:r>
      <w:r w:rsidRPr="00A6583F">
        <w:rPr>
          <w:rFonts w:ascii="Times New Roman" w:eastAsia="Calibri" w:hAnsi="Times New Roman" w:cs="Times New Roman"/>
          <w:sz w:val="24"/>
          <w:szCs w:val="24"/>
        </w:rPr>
        <w:t>odobnie, jak w przypad</w:t>
      </w:r>
      <w:r w:rsidR="00795752">
        <w:rPr>
          <w:rFonts w:ascii="Times New Roman" w:eastAsia="Calibri" w:hAnsi="Times New Roman" w:cs="Times New Roman"/>
          <w:sz w:val="24"/>
          <w:szCs w:val="24"/>
        </w:rPr>
        <w:t>ku art. 127 ust. 1 PU, dla obliczania takiego sześcio</w:t>
      </w:r>
      <w:r w:rsidRPr="00A6583F">
        <w:rPr>
          <w:rFonts w:ascii="Times New Roman" w:eastAsia="Calibri" w:hAnsi="Times New Roman" w:cs="Times New Roman"/>
          <w:sz w:val="24"/>
          <w:szCs w:val="24"/>
        </w:rPr>
        <w:t xml:space="preserve">miesięcznego terminu nie ma znaczenia, czy wniosek o ogłoszenie upadłości złożył sam upadły, czy którykolwiek z jego wierzycieli, czy też inny podmiot uprawniony ustawą do złożenia wniosku.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Analogicznie jak</w:t>
      </w:r>
      <w:r w:rsidR="00795752">
        <w:rPr>
          <w:rFonts w:ascii="Times New Roman" w:eastAsia="Calibri" w:hAnsi="Times New Roman" w:cs="Times New Roman"/>
          <w:sz w:val="24"/>
          <w:szCs w:val="24"/>
        </w:rPr>
        <w:t xml:space="preserve"> w przypadku art. 127 ust. 1 PU</w:t>
      </w:r>
      <w:r w:rsidRPr="00A6583F">
        <w:rPr>
          <w:rFonts w:ascii="Times New Roman" w:eastAsia="Calibri" w:hAnsi="Times New Roman" w:cs="Times New Roman"/>
          <w:sz w:val="24"/>
          <w:szCs w:val="24"/>
        </w:rPr>
        <w:t>, przyją</w:t>
      </w:r>
      <w:r w:rsidR="00795752">
        <w:rPr>
          <w:rFonts w:ascii="Times New Roman" w:eastAsia="Calibri" w:hAnsi="Times New Roman" w:cs="Times New Roman"/>
          <w:sz w:val="24"/>
          <w:szCs w:val="24"/>
        </w:rPr>
        <w:t>ć należy, że art. 127 ust. 3 PU</w:t>
      </w:r>
      <w:r w:rsidRPr="00A6583F">
        <w:rPr>
          <w:rFonts w:ascii="Times New Roman" w:eastAsia="Calibri" w:hAnsi="Times New Roman" w:cs="Times New Roman"/>
          <w:sz w:val="24"/>
          <w:szCs w:val="24"/>
        </w:rPr>
        <w:t xml:space="preserve"> nie obejmuje przypadków, w których ustanowienie zabezpieczenia na majątku dłużnika nastąpiło na mocy orzeczenia sądu bądź z mocy samego prawa (a zatem w przypadku hipoteki przymusowej bądź zastawu ustawowego)</w:t>
      </w:r>
      <w:r w:rsidR="004D7980">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Wskazuje na to jednoznacznie użyte w </w:t>
      </w:r>
      <w:r w:rsidRPr="00A6583F">
        <w:rPr>
          <w:rFonts w:ascii="Times New Roman" w:eastAsia="Calibri" w:hAnsi="Times New Roman" w:cs="Times New Roman"/>
          <w:sz w:val="24"/>
          <w:szCs w:val="24"/>
        </w:rPr>
        <w:lastRenderedPageBreak/>
        <w:t>treści tego przepisu sformułowanie, iż bezskuteczne są zabezpieczenie i zapłata długu niewymagalnego „dokonane przez upadłego”. Ponieważ zarówno w przypadku hipoteki przymusowej, jak i zastawu ustawowego (w tym skarbowego), zabezpieczenie długu nie może być uznane za „dokonane przez upadłego” przypadki takie bez wątpienia nie są obję</w:t>
      </w:r>
      <w:r w:rsidR="00795752">
        <w:rPr>
          <w:rFonts w:ascii="Times New Roman" w:eastAsia="Calibri" w:hAnsi="Times New Roman" w:cs="Times New Roman"/>
          <w:sz w:val="24"/>
          <w:szCs w:val="24"/>
        </w:rPr>
        <w:t>te regulacją art. 127 ust. 3 PU</w:t>
      </w:r>
      <w:r w:rsidRPr="00A6583F">
        <w:rPr>
          <w:rFonts w:ascii="Times New Roman" w:eastAsia="Calibri" w:hAnsi="Times New Roman" w:cs="Times New Roman"/>
          <w:sz w:val="24"/>
          <w:szCs w:val="24"/>
        </w:rPr>
        <w:t xml:space="preserve">.  Podobnie </w:t>
      </w:r>
      <w:r w:rsidR="00795752">
        <w:rPr>
          <w:rFonts w:ascii="Times New Roman" w:eastAsia="Calibri" w:hAnsi="Times New Roman" w:cs="Times New Roman"/>
          <w:sz w:val="24"/>
          <w:szCs w:val="24"/>
        </w:rPr>
        <w:t>jak przepis art. 127 ust. 1 PU tak też art. 127 ust. 3 PU</w:t>
      </w:r>
      <w:r w:rsidRPr="00A6583F">
        <w:rPr>
          <w:rFonts w:ascii="Times New Roman" w:eastAsia="Calibri" w:hAnsi="Times New Roman" w:cs="Times New Roman"/>
          <w:sz w:val="24"/>
          <w:szCs w:val="24"/>
        </w:rPr>
        <w:t xml:space="preserve"> ma zatem zastosowanie jedynie w sytuacjach, gdy wierzytelność została zabezpieczona hipoteką bądź zastawem, ustanowionymi w wyniku zmierzającej do tego czynności prawnej dłużnika (a zatem z reguły umowy ustanawiającej hipotekę bądź umowy zastawniczej), a nie w wyniku orzeczenia sądu bądź z mocy samego prawa.  </w:t>
      </w:r>
    </w:p>
    <w:p w:rsidR="00A6583F" w:rsidRPr="00795752"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795752">
        <w:rPr>
          <w:rFonts w:ascii="Times New Roman" w:eastAsia="Calibri" w:hAnsi="Times New Roman" w:cs="Times New Roman"/>
          <w:sz w:val="24"/>
          <w:szCs w:val="24"/>
        </w:rPr>
        <w:t>Użycie</w:t>
      </w:r>
      <w:r w:rsidRPr="00A6583F">
        <w:rPr>
          <w:rFonts w:ascii="Times New Roman" w:eastAsia="Calibri" w:hAnsi="Times New Roman" w:cs="Times New Roman"/>
          <w:sz w:val="24"/>
          <w:szCs w:val="24"/>
        </w:rPr>
        <w:t xml:space="preserve"> przez u</w:t>
      </w:r>
      <w:r w:rsidR="00795752">
        <w:rPr>
          <w:rFonts w:ascii="Times New Roman" w:eastAsia="Calibri" w:hAnsi="Times New Roman" w:cs="Times New Roman"/>
          <w:sz w:val="24"/>
          <w:szCs w:val="24"/>
        </w:rPr>
        <w:t>stawodawcę w art. 127 ust. 3 PU</w:t>
      </w:r>
      <w:r w:rsidRPr="00A6583F">
        <w:rPr>
          <w:rFonts w:ascii="Times New Roman" w:eastAsia="Calibri" w:hAnsi="Times New Roman" w:cs="Times New Roman"/>
          <w:sz w:val="24"/>
          <w:szCs w:val="24"/>
        </w:rPr>
        <w:t xml:space="preserve"> sformułowania, że bezskuteczne jest zabezpieczenie długu niewymagal</w:t>
      </w:r>
      <w:r w:rsidR="00795752">
        <w:rPr>
          <w:rFonts w:ascii="Times New Roman" w:eastAsia="Calibri" w:hAnsi="Times New Roman" w:cs="Times New Roman"/>
          <w:sz w:val="24"/>
          <w:szCs w:val="24"/>
        </w:rPr>
        <w:t xml:space="preserve">nego „dokonane przez upadłego” </w:t>
      </w:r>
      <w:r w:rsidRPr="00A6583F">
        <w:rPr>
          <w:rFonts w:ascii="Times New Roman" w:eastAsia="Calibri" w:hAnsi="Times New Roman" w:cs="Times New Roman"/>
          <w:sz w:val="24"/>
          <w:szCs w:val="24"/>
        </w:rPr>
        <w:t xml:space="preserve">pozwala wnioskować, że chwilą owego „zabezpieczenia”, od której musi do ogłoszenia upadłości upłynąć co najmniej </w:t>
      </w:r>
      <w:r w:rsidR="00795752">
        <w:rPr>
          <w:rFonts w:ascii="Times New Roman" w:eastAsia="Calibri" w:hAnsi="Times New Roman" w:cs="Times New Roman"/>
          <w:sz w:val="24"/>
          <w:szCs w:val="24"/>
        </w:rPr>
        <w:t>sześć</w:t>
      </w:r>
      <w:r w:rsidR="00B027A1">
        <w:rPr>
          <w:rFonts w:ascii="Times New Roman" w:eastAsia="Calibri" w:hAnsi="Times New Roman" w:cs="Times New Roman"/>
          <w:sz w:val="24"/>
          <w:szCs w:val="24"/>
        </w:rPr>
        <w:t xml:space="preserve"> miesięcy</w:t>
      </w:r>
      <w:r w:rsidRPr="00A6583F">
        <w:rPr>
          <w:rFonts w:ascii="Times New Roman" w:eastAsia="Calibri" w:hAnsi="Times New Roman" w:cs="Times New Roman"/>
          <w:sz w:val="24"/>
          <w:szCs w:val="24"/>
        </w:rPr>
        <w:t xml:space="preserve">, by było ono skuteczne wobec masy upadłości, jest, </w:t>
      </w:r>
      <w:r w:rsidR="00B027A1">
        <w:rPr>
          <w:rFonts w:ascii="Times New Roman" w:eastAsia="Calibri" w:hAnsi="Times New Roman" w:cs="Times New Roman"/>
          <w:sz w:val="24"/>
          <w:szCs w:val="24"/>
        </w:rPr>
        <w:t xml:space="preserve">zarówno </w:t>
      </w:r>
      <w:r w:rsidRPr="00A6583F">
        <w:rPr>
          <w:rFonts w:ascii="Times New Roman" w:eastAsia="Calibri" w:hAnsi="Times New Roman" w:cs="Times New Roman"/>
          <w:sz w:val="24"/>
          <w:szCs w:val="24"/>
        </w:rPr>
        <w:t xml:space="preserve">w przypadku zastawu </w:t>
      </w:r>
      <w:r w:rsidR="00B027A1">
        <w:rPr>
          <w:rFonts w:ascii="Times New Roman" w:eastAsia="Calibri" w:hAnsi="Times New Roman" w:cs="Times New Roman"/>
          <w:sz w:val="24"/>
          <w:szCs w:val="24"/>
        </w:rPr>
        <w:t xml:space="preserve">jak </w:t>
      </w:r>
      <w:r w:rsidRPr="00A6583F">
        <w:rPr>
          <w:rFonts w:ascii="Times New Roman" w:eastAsia="Calibri" w:hAnsi="Times New Roman" w:cs="Times New Roman"/>
          <w:sz w:val="24"/>
          <w:szCs w:val="24"/>
        </w:rPr>
        <w:t xml:space="preserve">i hipoteki, chwila zawarcia przez upadłego umowy zastawniczej lub umowy o ustanowienie hipoteki, a nie dopiero chwila powstania danego prawa zastawniczego. Czynnością prawną dokonaną przez upadłego jest bowiem właśnie zawarcie przez niego umowy ustanawiającej na zabezpieczenie długu niewymagalnego hipotekę bądź zastaw rejestrowy. Późniejszy wpis do księgi wieczystej bądź rejestru zastawów, aczkolwiek niezbędny dla ich powstania, nie jest już czynnością dokonywaną przez upadłego, lecz przez właściwy sąd, a czas jego dokonania nie zależy od upadłego czy też jego wierzycieli. </w:t>
      </w:r>
      <w:r w:rsidR="00795752">
        <w:rPr>
          <w:rFonts w:ascii="Times New Roman" w:eastAsia="Calibri" w:hAnsi="Times New Roman" w:cs="Times New Roman"/>
          <w:sz w:val="24"/>
          <w:szCs w:val="24"/>
        </w:rPr>
        <w:t>Moim z</w:t>
      </w:r>
      <w:r w:rsidRPr="00A6583F">
        <w:rPr>
          <w:rFonts w:ascii="Times New Roman" w:eastAsia="Calibri" w:hAnsi="Times New Roman" w:cs="Times New Roman"/>
          <w:sz w:val="24"/>
          <w:szCs w:val="24"/>
        </w:rPr>
        <w:t>daniem, należy zatem uznać, że w przypadku zarówno hipoteki,  jak i zastawu rejestrowego, zabezpieczenie nimi przez upadłego długu niewymagalnego</w:t>
      </w:r>
      <w:r w:rsidR="00795752">
        <w:rPr>
          <w:rFonts w:ascii="Times New Roman" w:eastAsia="Calibri" w:hAnsi="Times New Roman" w:cs="Times New Roman"/>
          <w:sz w:val="24"/>
          <w:szCs w:val="24"/>
        </w:rPr>
        <w:t xml:space="preserve"> jest z mocy art. 127 ust. 3 PU</w:t>
      </w:r>
      <w:r w:rsidRPr="00A6583F">
        <w:rPr>
          <w:rFonts w:ascii="Times New Roman" w:eastAsia="Calibri" w:hAnsi="Times New Roman" w:cs="Times New Roman"/>
          <w:sz w:val="24"/>
          <w:szCs w:val="24"/>
        </w:rPr>
        <w:t xml:space="preserve">  bezskuteczne, jeżeli w terminie </w:t>
      </w:r>
      <w:r w:rsidR="00795752">
        <w:rPr>
          <w:rFonts w:ascii="Times New Roman" w:eastAsia="Calibri" w:hAnsi="Times New Roman" w:cs="Times New Roman"/>
          <w:sz w:val="24"/>
          <w:szCs w:val="24"/>
        </w:rPr>
        <w:t>sześciu</w:t>
      </w:r>
      <w:r w:rsidRPr="00A6583F">
        <w:rPr>
          <w:rFonts w:ascii="Times New Roman" w:eastAsia="Calibri" w:hAnsi="Times New Roman" w:cs="Times New Roman"/>
          <w:sz w:val="24"/>
          <w:szCs w:val="24"/>
        </w:rPr>
        <w:t xml:space="preserve"> miesięcy przed dniem złożenia wniosku o ogłoszenie upadłości nastąpiło zawarcie z upadłym umowy o ustanowienie hipoteki bądź umowy zastawniczej. Jeżeli natomiast umowa taka została zawarta wcześniej niż na </w:t>
      </w:r>
      <w:r w:rsidR="00795752">
        <w:rPr>
          <w:rFonts w:ascii="Times New Roman" w:eastAsia="Calibri" w:hAnsi="Times New Roman" w:cs="Times New Roman"/>
          <w:sz w:val="24"/>
          <w:szCs w:val="24"/>
        </w:rPr>
        <w:t>sześć</w:t>
      </w:r>
      <w:r w:rsidR="00B027A1">
        <w:rPr>
          <w:rFonts w:ascii="Times New Roman" w:eastAsia="Calibri" w:hAnsi="Times New Roman" w:cs="Times New Roman"/>
          <w:sz w:val="24"/>
          <w:szCs w:val="24"/>
        </w:rPr>
        <w:t xml:space="preserve"> miesięcy</w:t>
      </w:r>
      <w:r w:rsidRPr="00A6583F">
        <w:rPr>
          <w:rFonts w:ascii="Times New Roman" w:eastAsia="Calibri" w:hAnsi="Times New Roman" w:cs="Times New Roman"/>
          <w:sz w:val="24"/>
          <w:szCs w:val="24"/>
        </w:rPr>
        <w:t xml:space="preserve"> przed dniem złożenia wniosku o ogłoszenie upadłości, to zabezpieczenie danej wierzytelności hipoteką bądź zastawem rejestrowym jest skuteczne, choćby nawet sam wpis do księgi w</w:t>
      </w:r>
      <w:r w:rsidR="00795752">
        <w:rPr>
          <w:rFonts w:ascii="Times New Roman" w:eastAsia="Calibri" w:hAnsi="Times New Roman" w:cs="Times New Roman"/>
          <w:sz w:val="24"/>
          <w:szCs w:val="24"/>
        </w:rPr>
        <w:t>ieczystej lub rejestru zastawów</w:t>
      </w:r>
      <w:r w:rsidRPr="00A6583F">
        <w:rPr>
          <w:rFonts w:ascii="Times New Roman" w:eastAsia="Calibri" w:hAnsi="Times New Roman" w:cs="Times New Roman"/>
          <w:sz w:val="24"/>
          <w:szCs w:val="24"/>
        </w:rPr>
        <w:t xml:space="preserve"> został dokonany już w </w:t>
      </w:r>
      <w:r w:rsidR="00B027A1">
        <w:rPr>
          <w:rFonts w:ascii="Times New Roman" w:eastAsia="Calibri" w:hAnsi="Times New Roman" w:cs="Times New Roman"/>
          <w:sz w:val="24"/>
          <w:szCs w:val="24"/>
        </w:rPr>
        <w:t xml:space="preserve">okresie </w:t>
      </w:r>
      <w:r w:rsidRPr="00A6583F">
        <w:rPr>
          <w:rFonts w:ascii="Times New Roman" w:eastAsia="Calibri" w:hAnsi="Times New Roman" w:cs="Times New Roman"/>
          <w:sz w:val="24"/>
          <w:szCs w:val="24"/>
        </w:rPr>
        <w:t>wyzna</w:t>
      </w:r>
      <w:r w:rsidR="00795752">
        <w:rPr>
          <w:rFonts w:ascii="Times New Roman" w:eastAsia="Calibri" w:hAnsi="Times New Roman" w:cs="Times New Roman"/>
          <w:sz w:val="24"/>
          <w:szCs w:val="24"/>
        </w:rPr>
        <w:t>czonym przez art. 127 ust. 3 PU</w:t>
      </w:r>
      <w:r w:rsidRPr="00A6583F">
        <w:rPr>
          <w:rFonts w:ascii="Times New Roman" w:eastAsia="Calibri" w:hAnsi="Times New Roman" w:cs="Times New Roman"/>
          <w:sz w:val="24"/>
          <w:szCs w:val="24"/>
        </w:rPr>
        <w:t xml:space="preserve">. Pamiętać należy jednak, że również w takich przypadkach, obowiązuje - wynikający z </w:t>
      </w:r>
      <w:r w:rsidR="00795752">
        <w:rPr>
          <w:rFonts w:ascii="Times New Roman" w:eastAsia="Calibri" w:hAnsi="Times New Roman" w:cs="Times New Roman"/>
          <w:bCs/>
          <w:sz w:val="24"/>
          <w:szCs w:val="24"/>
        </w:rPr>
        <w:t>art. 81 ust. 1 PU</w:t>
      </w:r>
      <w:r w:rsidRPr="00A6583F">
        <w:rPr>
          <w:rFonts w:ascii="Times New Roman" w:eastAsia="Calibri" w:hAnsi="Times New Roman" w:cs="Times New Roman"/>
          <w:bCs/>
          <w:sz w:val="24"/>
          <w:szCs w:val="24"/>
        </w:rPr>
        <w:t xml:space="preserve"> - zakaz dokonywania wpisów powodujących obciążenie składników masy upadłości</w:t>
      </w:r>
      <w:r w:rsidR="00795752">
        <w:rPr>
          <w:rFonts w:ascii="Times New Roman" w:eastAsia="Calibri" w:hAnsi="Times New Roman" w:cs="Times New Roman"/>
          <w:bCs/>
          <w:sz w:val="24"/>
          <w:szCs w:val="24"/>
        </w:rPr>
        <w:t xml:space="preserve"> (na zabezpieczenie wierzytelności powstałych przed ogłoszeniem upadłości)</w:t>
      </w:r>
      <w:r w:rsidRPr="00A6583F">
        <w:rPr>
          <w:rFonts w:ascii="Times New Roman" w:eastAsia="Calibri" w:hAnsi="Times New Roman" w:cs="Times New Roman"/>
          <w:bCs/>
          <w:sz w:val="24"/>
          <w:szCs w:val="24"/>
        </w:rPr>
        <w:t>, po ogłoszeniu upadłości dłużnika..</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bCs/>
          <w:sz w:val="24"/>
          <w:szCs w:val="24"/>
        </w:rPr>
        <w:tab/>
      </w:r>
      <w:r w:rsidRPr="00A6583F">
        <w:rPr>
          <w:rFonts w:ascii="Times New Roman" w:eastAsia="Calibri" w:hAnsi="Times New Roman" w:cs="Times New Roman"/>
          <w:sz w:val="24"/>
          <w:szCs w:val="24"/>
        </w:rPr>
        <w:t xml:space="preserve">Dla wierzycieli, których niewymagalna wierzytelność została zabezpieczona na mieniu upadłego w terminie </w:t>
      </w:r>
      <w:r w:rsidR="00795752">
        <w:rPr>
          <w:rFonts w:ascii="Times New Roman" w:eastAsia="Calibri" w:hAnsi="Times New Roman" w:cs="Times New Roman"/>
          <w:sz w:val="24"/>
          <w:szCs w:val="24"/>
        </w:rPr>
        <w:t>sześciu</w:t>
      </w:r>
      <w:r w:rsidRPr="00A6583F">
        <w:rPr>
          <w:rFonts w:ascii="Times New Roman" w:eastAsia="Calibri" w:hAnsi="Times New Roman" w:cs="Times New Roman"/>
          <w:sz w:val="24"/>
          <w:szCs w:val="24"/>
        </w:rPr>
        <w:t xml:space="preserve"> miesięcy przed dniem złożenia wniosku o ogłoszenie </w:t>
      </w:r>
      <w:r w:rsidRPr="00A6583F">
        <w:rPr>
          <w:rFonts w:ascii="Times New Roman" w:eastAsia="Calibri" w:hAnsi="Times New Roman" w:cs="Times New Roman"/>
          <w:sz w:val="24"/>
          <w:szCs w:val="24"/>
        </w:rPr>
        <w:lastRenderedPageBreak/>
        <w:t>upadłości, istotne znaczenie może mieć z</w:t>
      </w:r>
      <w:r w:rsidR="00795752">
        <w:rPr>
          <w:rFonts w:ascii="Times New Roman" w:eastAsia="Calibri" w:hAnsi="Times New Roman" w:cs="Times New Roman"/>
          <w:sz w:val="24"/>
          <w:szCs w:val="24"/>
        </w:rPr>
        <w:t>danie drugie ust. 3 art. 127 PU</w:t>
      </w:r>
      <w:r w:rsidRPr="00A6583F">
        <w:rPr>
          <w:rFonts w:ascii="Times New Roman" w:eastAsia="Calibri" w:hAnsi="Times New Roman" w:cs="Times New Roman"/>
          <w:sz w:val="24"/>
          <w:szCs w:val="24"/>
        </w:rPr>
        <w:t xml:space="preserve">, zgodnie z którym </w:t>
      </w:r>
      <w:r w:rsidRPr="00B027A1">
        <w:rPr>
          <w:rFonts w:ascii="Times New Roman" w:eastAsia="Calibri" w:hAnsi="Times New Roman" w:cs="Times New Roman"/>
          <w:b/>
          <w:sz w:val="24"/>
          <w:szCs w:val="24"/>
        </w:rPr>
        <w:t>ten, kto otrzymał zapłatę lub zabezpieczenie, może w drodze powództwa lub zarzutu żądać uznania tych czynności za skuteczne, jeżeli w czasie ich dokonania  nie wiedział o istnieniu podstaw do ogłoszenia upadłości</w:t>
      </w:r>
      <w:r w:rsidRPr="00A6583F">
        <w:rPr>
          <w:rFonts w:ascii="Times New Roman" w:eastAsia="Calibri" w:hAnsi="Times New Roman" w:cs="Times New Roman"/>
          <w:sz w:val="24"/>
          <w:szCs w:val="24"/>
        </w:rPr>
        <w:t xml:space="preserve">. Stosując wnioskowanie </w:t>
      </w:r>
      <w:r w:rsidRPr="00A6583F">
        <w:rPr>
          <w:rFonts w:ascii="Times New Roman" w:eastAsia="Calibri" w:hAnsi="Times New Roman" w:cs="Times New Roman"/>
          <w:i/>
          <w:sz w:val="24"/>
          <w:szCs w:val="24"/>
        </w:rPr>
        <w:t xml:space="preserve">a </w:t>
      </w:r>
      <w:proofErr w:type="spellStart"/>
      <w:r w:rsidRPr="00A6583F">
        <w:rPr>
          <w:rFonts w:ascii="Times New Roman" w:eastAsia="Calibri" w:hAnsi="Times New Roman" w:cs="Times New Roman"/>
          <w:i/>
          <w:sz w:val="24"/>
          <w:szCs w:val="24"/>
        </w:rPr>
        <w:t>contrario</w:t>
      </w:r>
      <w:proofErr w:type="spellEnd"/>
      <w:r w:rsidRPr="00A6583F">
        <w:rPr>
          <w:rFonts w:ascii="Times New Roman" w:eastAsia="Calibri" w:hAnsi="Times New Roman" w:cs="Times New Roman"/>
          <w:i/>
          <w:sz w:val="24"/>
          <w:szCs w:val="24"/>
        </w:rPr>
        <w:t>,</w:t>
      </w:r>
      <w:r w:rsidRPr="00A6583F">
        <w:rPr>
          <w:rFonts w:ascii="Times New Roman" w:eastAsia="Calibri" w:hAnsi="Times New Roman" w:cs="Times New Roman"/>
          <w:sz w:val="24"/>
          <w:szCs w:val="24"/>
        </w:rPr>
        <w:t xml:space="preserve"> część doktryny prezentuje pogląd, że dla bezskuteczności takiego zabezpieczenia konieczna jest</w:t>
      </w:r>
      <w:r w:rsidR="00795752">
        <w:rPr>
          <w:rFonts w:ascii="Times New Roman" w:eastAsia="Calibri" w:hAnsi="Times New Roman" w:cs="Times New Roman"/>
          <w:sz w:val="24"/>
          <w:szCs w:val="24"/>
        </w:rPr>
        <w:t xml:space="preserve"> zatem</w:t>
      </w:r>
      <w:r w:rsidRPr="00A6583F">
        <w:rPr>
          <w:rFonts w:ascii="Times New Roman" w:eastAsia="Calibri" w:hAnsi="Times New Roman" w:cs="Times New Roman"/>
          <w:sz w:val="24"/>
          <w:szCs w:val="24"/>
        </w:rPr>
        <w:t xml:space="preserve"> pozytywna wiedza osoby, na której rzecz ustanawiane jest zabezpieczenie o istnieniu podstaw do ogłoszenia upadłości dłużnika w czasie dokonania zabezpieczenia. Ciężar dowodu spoczywałby przy tym nie na osobie otrzymującej zabezpieczenie, lecz na jej przeciwniku, a zatem osobie żądającej uznania ustanowienia zabezpieczenie za bezskuteczne. O ile w odniesieniu do kwestii pozytywnej wiedzy zabezpieczanego wierzyciela stanowisko to można uznać za uzasadnione, to w części dotyczącej kwestii dowodowych, w </w:t>
      </w:r>
      <w:r w:rsidR="00B027A1">
        <w:rPr>
          <w:rFonts w:ascii="Times New Roman" w:eastAsia="Calibri" w:hAnsi="Times New Roman" w:cs="Times New Roman"/>
          <w:sz w:val="24"/>
          <w:szCs w:val="24"/>
        </w:rPr>
        <w:t xml:space="preserve">mojej </w:t>
      </w:r>
      <w:r w:rsidRPr="00A6583F">
        <w:rPr>
          <w:rFonts w:ascii="Times New Roman" w:eastAsia="Calibri" w:hAnsi="Times New Roman" w:cs="Times New Roman"/>
          <w:sz w:val="24"/>
          <w:szCs w:val="24"/>
        </w:rPr>
        <w:t>opinii jest ono zbyt daleko idące. W oparciu o</w:t>
      </w:r>
      <w:r w:rsidR="00795752">
        <w:rPr>
          <w:rFonts w:ascii="Times New Roman" w:eastAsia="Calibri" w:hAnsi="Times New Roman" w:cs="Times New Roman"/>
          <w:sz w:val="24"/>
          <w:szCs w:val="24"/>
        </w:rPr>
        <w:t xml:space="preserve"> treść art. 127 ust. 3 </w:t>
      </w:r>
      <w:proofErr w:type="spellStart"/>
      <w:r w:rsidR="00795752">
        <w:rPr>
          <w:rFonts w:ascii="Times New Roman" w:eastAsia="Calibri" w:hAnsi="Times New Roman" w:cs="Times New Roman"/>
          <w:sz w:val="24"/>
          <w:szCs w:val="24"/>
        </w:rPr>
        <w:t>zd</w:t>
      </w:r>
      <w:proofErr w:type="spellEnd"/>
      <w:r w:rsidR="00795752">
        <w:rPr>
          <w:rFonts w:ascii="Times New Roman" w:eastAsia="Calibri" w:hAnsi="Times New Roman" w:cs="Times New Roman"/>
          <w:sz w:val="24"/>
          <w:szCs w:val="24"/>
        </w:rPr>
        <w:t>. 2 PU</w:t>
      </w:r>
      <w:r w:rsidRPr="00A6583F">
        <w:rPr>
          <w:rFonts w:ascii="Times New Roman" w:eastAsia="Calibri" w:hAnsi="Times New Roman" w:cs="Times New Roman"/>
          <w:sz w:val="24"/>
          <w:szCs w:val="24"/>
        </w:rPr>
        <w:t>, iż  „ten, kto otrzymał zapłatę lub zabezpieczenie, może w drodze powództwa lub zarzutu żądać uznania tych czynności za skuteczne, jeżeli w czasie ich dokonania nie wiedział o istnieniu podstawy do ogłosz</w:t>
      </w:r>
      <w:r w:rsidR="00B027A1">
        <w:rPr>
          <w:rFonts w:ascii="Times New Roman" w:eastAsia="Calibri" w:hAnsi="Times New Roman" w:cs="Times New Roman"/>
          <w:sz w:val="24"/>
          <w:szCs w:val="24"/>
        </w:rPr>
        <w:t>enia upadłości.”  należy raczej</w:t>
      </w:r>
      <w:r w:rsidRPr="00A6583F">
        <w:rPr>
          <w:rFonts w:ascii="Times New Roman" w:eastAsia="Calibri" w:hAnsi="Times New Roman" w:cs="Times New Roman"/>
          <w:sz w:val="24"/>
          <w:szCs w:val="24"/>
        </w:rPr>
        <w:t xml:space="preserve"> podzielić pogląd, który prezentuje </w:t>
      </w:r>
      <w:r w:rsidR="00B027A1">
        <w:rPr>
          <w:rFonts w:ascii="Times New Roman" w:eastAsia="Calibri" w:hAnsi="Times New Roman" w:cs="Times New Roman"/>
          <w:sz w:val="24"/>
          <w:szCs w:val="24"/>
        </w:rPr>
        <w:t xml:space="preserve">m. in. </w:t>
      </w:r>
      <w:r w:rsidRPr="00A6583F">
        <w:rPr>
          <w:rFonts w:ascii="Times New Roman" w:eastAsia="Calibri" w:hAnsi="Times New Roman" w:cs="Times New Roman"/>
          <w:i/>
          <w:sz w:val="24"/>
          <w:szCs w:val="24"/>
        </w:rPr>
        <w:t xml:space="preserve">D. </w:t>
      </w:r>
      <w:proofErr w:type="spellStart"/>
      <w:r w:rsidRPr="00A6583F">
        <w:rPr>
          <w:rFonts w:ascii="Times New Roman" w:eastAsia="Calibri" w:hAnsi="Times New Roman" w:cs="Times New Roman"/>
          <w:i/>
          <w:sz w:val="24"/>
          <w:szCs w:val="24"/>
        </w:rPr>
        <w:t>Chrapoński</w:t>
      </w:r>
      <w:proofErr w:type="spellEnd"/>
      <w:r w:rsidR="00795752">
        <w:rPr>
          <w:rFonts w:ascii="Times New Roman" w:eastAsia="Calibri" w:hAnsi="Times New Roman" w:cs="Times New Roman"/>
          <w:sz w:val="24"/>
          <w:szCs w:val="24"/>
        </w:rPr>
        <w:t>, iż art. 127 ust. 3 PU</w:t>
      </w:r>
      <w:r w:rsidRPr="00A6583F">
        <w:rPr>
          <w:rFonts w:ascii="Times New Roman" w:eastAsia="Calibri" w:hAnsi="Times New Roman" w:cs="Times New Roman"/>
          <w:sz w:val="24"/>
          <w:szCs w:val="24"/>
        </w:rPr>
        <w:t xml:space="preserve"> zawiera domniemanie prawne, że wierzyciel (na rzecz którego ustanowione zostało zabezpieczenie) wiedział o istnieniu podstaw do ogłoszenia upadłości dłużnika. Z treści przytoczonego przepisu wynika wprawdzie, że domniemanie to jest domniemaniem wzruszalnym, jednakże powoduje ono przesunięcie ciężaru dowodu na osobę wierzyciela, który uzyskał zabezpieczenie długu niewymagalnego dokonane przez upadłego w terminie </w:t>
      </w:r>
      <w:r w:rsidR="00795752">
        <w:rPr>
          <w:rFonts w:ascii="Times New Roman" w:eastAsia="Calibri" w:hAnsi="Times New Roman" w:cs="Times New Roman"/>
          <w:sz w:val="24"/>
          <w:szCs w:val="24"/>
        </w:rPr>
        <w:t>sześciu</w:t>
      </w:r>
      <w:r w:rsidRPr="00A6583F">
        <w:rPr>
          <w:rFonts w:ascii="Times New Roman" w:eastAsia="Calibri" w:hAnsi="Times New Roman" w:cs="Times New Roman"/>
          <w:sz w:val="24"/>
          <w:szCs w:val="24"/>
        </w:rPr>
        <w:t xml:space="preserve"> miesięcy przed dniem złożenia wniosku o ogłoszenie upadłości. Wierzyciel taki może zatem żądać uznania zabezpieczenia za skuteczne, musi jednak wykazać, że w czasie jego ustanowienia nie wiedział o istnieniu podstaw do ogłoszenia upadłości dłużnika. </w:t>
      </w:r>
    </w:p>
    <w:p w:rsid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 W kontekście poczynionych wyżej rozważań odnośnie wątpliwości c</w:t>
      </w:r>
      <w:r w:rsidR="003A1F5F">
        <w:rPr>
          <w:rFonts w:ascii="Times New Roman" w:eastAsia="Calibri" w:hAnsi="Times New Roman" w:cs="Times New Roman"/>
          <w:sz w:val="24"/>
          <w:szCs w:val="24"/>
        </w:rPr>
        <w:t>o do zakresu art. 127 ust. 3 PU</w:t>
      </w:r>
      <w:r w:rsidR="00B027A1">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związanych z rozbieżnością pomiędzy chwilą zawarcia umowy o ust</w:t>
      </w:r>
      <w:r w:rsidR="00B027A1">
        <w:rPr>
          <w:rFonts w:ascii="Times New Roman" w:eastAsia="Calibri" w:hAnsi="Times New Roman" w:cs="Times New Roman"/>
          <w:sz w:val="24"/>
          <w:szCs w:val="24"/>
        </w:rPr>
        <w:t>anowienia zastawu bądź hipoteki</w:t>
      </w:r>
      <w:r w:rsidRPr="00A6583F">
        <w:rPr>
          <w:rFonts w:ascii="Times New Roman" w:eastAsia="Calibri" w:hAnsi="Times New Roman" w:cs="Times New Roman"/>
          <w:sz w:val="24"/>
          <w:szCs w:val="24"/>
        </w:rPr>
        <w:t xml:space="preserve"> a chwilą ich powstania jako ograniczonych praw rzeczowych, należy</w:t>
      </w:r>
      <w:r w:rsidR="003A1F5F">
        <w:rPr>
          <w:rFonts w:ascii="Times New Roman" w:eastAsia="Calibri" w:hAnsi="Times New Roman" w:cs="Times New Roman"/>
          <w:sz w:val="24"/>
          <w:szCs w:val="24"/>
        </w:rPr>
        <w:t xml:space="preserve"> dodać, iż z art. 127 ust. 3 PU</w:t>
      </w:r>
      <w:r w:rsidRPr="00A6583F">
        <w:rPr>
          <w:rFonts w:ascii="Times New Roman" w:eastAsia="Calibri" w:hAnsi="Times New Roman" w:cs="Times New Roman"/>
          <w:sz w:val="24"/>
          <w:szCs w:val="24"/>
        </w:rPr>
        <w:t xml:space="preserve">, </w:t>
      </w:r>
      <w:r w:rsidR="003A1F5F">
        <w:rPr>
          <w:rFonts w:ascii="Times New Roman" w:eastAsia="Calibri" w:hAnsi="Times New Roman" w:cs="Times New Roman"/>
          <w:sz w:val="24"/>
          <w:szCs w:val="24"/>
        </w:rPr>
        <w:t>moim zdaniem</w:t>
      </w:r>
      <w:r w:rsidRPr="00A6583F">
        <w:rPr>
          <w:rFonts w:ascii="Times New Roman" w:eastAsia="Calibri" w:hAnsi="Times New Roman" w:cs="Times New Roman"/>
          <w:sz w:val="24"/>
          <w:szCs w:val="24"/>
        </w:rPr>
        <w:t xml:space="preserve"> wynika, że ów brak wiedzy o istnieniu podstaw do ogłoszenia upadłości dłużnika powinien istnieć u wierzyciela w momencie dokonania czynności prawnej upadłego zmierzającej do zabezpieczenia długu niewymagalnego, czyli w przypadku hipoteki bądź zastawu – w chwili zawarcia umowy zastawniczej bądź umowy o ustanowienie hipoteki. Fakt, iż po zawarciu takiej umowy, ale jeszcze przed powstaniem danego ograniczonego prawa rzeczowego (poprzez dokonanie wpisu do księgi wieczystej, rejestru zastawów, bądź wydanie rzeczy)</w:t>
      </w:r>
      <w:r w:rsidR="00B027A1">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wierzyciel dowiedział się o istnieniu podstaw do </w:t>
      </w:r>
      <w:r w:rsidRPr="00A6583F">
        <w:rPr>
          <w:rFonts w:ascii="Times New Roman" w:eastAsia="Calibri" w:hAnsi="Times New Roman" w:cs="Times New Roman"/>
          <w:sz w:val="24"/>
          <w:szCs w:val="24"/>
        </w:rPr>
        <w:lastRenderedPageBreak/>
        <w:t xml:space="preserve">ogłoszenia upadłości dłużnika, nie powoduje, w </w:t>
      </w:r>
      <w:r w:rsidR="003A1F5F">
        <w:rPr>
          <w:rFonts w:ascii="Times New Roman" w:eastAsia="Calibri" w:hAnsi="Times New Roman" w:cs="Times New Roman"/>
          <w:sz w:val="24"/>
          <w:szCs w:val="24"/>
        </w:rPr>
        <w:t>mojej opinii</w:t>
      </w:r>
      <w:r w:rsidRPr="00A6583F">
        <w:rPr>
          <w:rFonts w:ascii="Times New Roman" w:eastAsia="Calibri" w:hAnsi="Times New Roman" w:cs="Times New Roman"/>
          <w:sz w:val="24"/>
          <w:szCs w:val="24"/>
        </w:rPr>
        <w:t>, bezskuteczności takiej czynności prawnej w oparciu o art. 127 ust. 3 PU.</w:t>
      </w:r>
    </w:p>
    <w:p w:rsidR="00447974" w:rsidRDefault="00447974" w:rsidP="00A6583F">
      <w:pPr>
        <w:spacing w:after="0" w:line="360" w:lineRule="auto"/>
        <w:jc w:val="both"/>
        <w:rPr>
          <w:rFonts w:ascii="Times New Roman" w:eastAsia="Calibri" w:hAnsi="Times New Roman" w:cs="Times New Roman"/>
          <w:sz w:val="24"/>
          <w:szCs w:val="24"/>
        </w:rPr>
      </w:pPr>
    </w:p>
    <w:p w:rsidR="00447974" w:rsidRDefault="00447974"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3.3. Czynności upadłego bezskuteczne z mocy art. 128a PU</w:t>
      </w:r>
    </w:p>
    <w:p w:rsidR="00447974" w:rsidRDefault="00447974" w:rsidP="00A6583F">
      <w:pPr>
        <w:spacing w:after="0" w:line="360" w:lineRule="auto"/>
        <w:jc w:val="both"/>
        <w:rPr>
          <w:rFonts w:ascii="Times New Roman" w:eastAsia="Calibri" w:hAnsi="Times New Roman" w:cs="Times New Roman"/>
          <w:sz w:val="24"/>
          <w:szCs w:val="24"/>
        </w:rPr>
      </w:pPr>
    </w:p>
    <w:p w:rsidR="00447974" w:rsidRPr="00447974" w:rsidRDefault="00447974" w:rsidP="00447974">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 128a ust. 1 PU b</w:t>
      </w:r>
      <w:r w:rsidRPr="00447974">
        <w:rPr>
          <w:rFonts w:ascii="Times New Roman" w:eastAsia="Calibri" w:hAnsi="Times New Roman" w:cs="Times New Roman"/>
          <w:sz w:val="24"/>
          <w:szCs w:val="24"/>
        </w:rPr>
        <w:t xml:space="preserve">ezskuteczny w stosunku do masy upadłości jest przelew wierzytelności przyszłej, jeżeli wierzytelność ta powstanie po ogłoszeniu upadłości. </w:t>
      </w:r>
      <w:r>
        <w:rPr>
          <w:rFonts w:ascii="Times New Roman" w:eastAsia="Calibri" w:hAnsi="Times New Roman" w:cs="Times New Roman"/>
          <w:sz w:val="24"/>
          <w:szCs w:val="24"/>
        </w:rPr>
        <w:t>Przepisu tego jednak nie stosuje się w</w:t>
      </w:r>
      <w:r w:rsidRPr="00447974">
        <w:rPr>
          <w:rFonts w:ascii="Times New Roman" w:eastAsia="Calibri" w:hAnsi="Times New Roman" w:cs="Times New Roman"/>
          <w:sz w:val="24"/>
          <w:szCs w:val="24"/>
        </w:rPr>
        <w:t xml:space="preserve"> przypadku gdy umowa przelewu wierzytelności została zawarta nie później niż sześć miesięcy przed dniem złożenia wniosku o ogłoszenie upadłości w formie pisemnej z datą pewną.</w:t>
      </w:r>
    </w:p>
    <w:p w:rsidR="00A6583F" w:rsidRPr="00A6583F" w:rsidRDefault="00A6583F" w:rsidP="00A6583F">
      <w:pPr>
        <w:spacing w:after="0" w:line="360" w:lineRule="auto"/>
        <w:jc w:val="both"/>
        <w:rPr>
          <w:rFonts w:ascii="Times New Roman" w:eastAsia="Calibri" w:hAnsi="Times New Roman" w:cs="Times New Roman"/>
          <w:sz w:val="24"/>
          <w:szCs w:val="24"/>
        </w:rPr>
      </w:pPr>
    </w:p>
    <w:p w:rsidR="00A6583F" w:rsidRPr="00A6583F" w:rsidRDefault="003A1F5F" w:rsidP="00A6583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A6583F" w:rsidRPr="00A6583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Uznanie czynności </w:t>
      </w:r>
      <w:r w:rsidR="00447974">
        <w:rPr>
          <w:rFonts w:ascii="Times New Roman" w:eastAsia="Calibri" w:hAnsi="Times New Roman" w:cs="Times New Roman"/>
          <w:b/>
          <w:sz w:val="24"/>
          <w:szCs w:val="24"/>
        </w:rPr>
        <w:t xml:space="preserve">prawnych </w:t>
      </w:r>
      <w:r>
        <w:rPr>
          <w:rFonts w:ascii="Times New Roman" w:eastAsia="Calibri" w:hAnsi="Times New Roman" w:cs="Times New Roman"/>
          <w:b/>
          <w:sz w:val="24"/>
          <w:szCs w:val="24"/>
        </w:rPr>
        <w:t>upadłego za bezskuteczne przez sędziego-komisarza –art. 128</w:t>
      </w:r>
      <w:r w:rsidR="00A6583F" w:rsidRPr="00A6583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t>
      </w:r>
      <w:r w:rsidR="00447974">
        <w:rPr>
          <w:rFonts w:ascii="Times New Roman" w:eastAsia="Calibri" w:hAnsi="Times New Roman" w:cs="Times New Roman"/>
          <w:b/>
          <w:sz w:val="24"/>
          <w:szCs w:val="24"/>
        </w:rPr>
        <w:t xml:space="preserve"> 130</w:t>
      </w:r>
      <w:r>
        <w:rPr>
          <w:rFonts w:ascii="Times New Roman" w:eastAsia="Calibri" w:hAnsi="Times New Roman" w:cs="Times New Roman"/>
          <w:b/>
          <w:sz w:val="24"/>
          <w:szCs w:val="24"/>
        </w:rPr>
        <w:t xml:space="preserve"> PU</w:t>
      </w:r>
    </w:p>
    <w:p w:rsidR="003A1F5F" w:rsidRDefault="003A1F5F" w:rsidP="00A6583F">
      <w:pPr>
        <w:spacing w:after="0" w:line="360" w:lineRule="auto"/>
        <w:jc w:val="both"/>
        <w:rPr>
          <w:rFonts w:ascii="Times New Roman" w:eastAsia="Calibri" w:hAnsi="Times New Roman" w:cs="Times New Roman"/>
          <w:sz w:val="24"/>
          <w:szCs w:val="24"/>
        </w:rPr>
      </w:pPr>
    </w:p>
    <w:p w:rsidR="00A6583F" w:rsidRPr="00A6583F" w:rsidRDefault="003A1F5F" w:rsidP="00A6583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4</w:t>
      </w:r>
      <w:r w:rsidR="00AA725A">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sidR="00AA725A">
        <w:rPr>
          <w:rFonts w:ascii="Times New Roman" w:eastAsia="Calibri" w:hAnsi="Times New Roman" w:cs="Times New Roman"/>
          <w:b/>
          <w:sz w:val="24"/>
          <w:szCs w:val="24"/>
        </w:rPr>
        <w:t>Uznanie czynności upadłego za bezskuteczne w oparciu o art. 128 PU</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p>
    <w:p w:rsidR="00793977"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Rozpatrując kwestię ewentualnej bezskuteczności wobec masy upadłości </w:t>
      </w:r>
      <w:r w:rsidR="00793977">
        <w:rPr>
          <w:rFonts w:ascii="Times New Roman" w:eastAsia="Calibri" w:hAnsi="Times New Roman" w:cs="Times New Roman"/>
          <w:sz w:val="24"/>
          <w:szCs w:val="24"/>
        </w:rPr>
        <w:t xml:space="preserve">czynności prawnych upadłego </w:t>
      </w:r>
      <w:r w:rsidRPr="00A6583F">
        <w:rPr>
          <w:rFonts w:ascii="Times New Roman" w:eastAsia="Calibri" w:hAnsi="Times New Roman" w:cs="Times New Roman"/>
          <w:sz w:val="24"/>
          <w:szCs w:val="24"/>
        </w:rPr>
        <w:t>należy odnieść się również do regulacji zawartych w art. 128 P</w:t>
      </w:r>
      <w:r w:rsidR="00793977">
        <w:rPr>
          <w:rFonts w:ascii="Times New Roman" w:eastAsia="Calibri" w:hAnsi="Times New Roman" w:cs="Times New Roman"/>
          <w:sz w:val="24"/>
          <w:szCs w:val="24"/>
        </w:rPr>
        <w:t>U</w:t>
      </w:r>
      <w:r w:rsidRPr="00A6583F">
        <w:rPr>
          <w:rFonts w:ascii="Times New Roman" w:eastAsia="Calibri" w:hAnsi="Times New Roman" w:cs="Times New Roman"/>
          <w:sz w:val="24"/>
          <w:szCs w:val="24"/>
        </w:rPr>
        <w:t xml:space="preserve">. Odmiennie </w:t>
      </w:r>
      <w:r w:rsidR="00793977">
        <w:rPr>
          <w:rFonts w:ascii="Times New Roman" w:eastAsia="Calibri" w:hAnsi="Times New Roman" w:cs="Times New Roman"/>
          <w:sz w:val="24"/>
          <w:szCs w:val="24"/>
        </w:rPr>
        <w:t>niż art. 127 PU</w:t>
      </w:r>
      <w:r w:rsidRPr="00A6583F">
        <w:rPr>
          <w:rFonts w:ascii="Times New Roman" w:eastAsia="Calibri" w:hAnsi="Times New Roman" w:cs="Times New Roman"/>
          <w:sz w:val="24"/>
          <w:szCs w:val="24"/>
        </w:rPr>
        <w:t>, obejmujący swoim zakresem zasadniczo czynności prawne upadłego dokonane nieodpłatnie (ewentualnie przy rażącej dysproporcji wartości tych świadczeń na niekorzyść upadłego), a także zabezpieczenie i zapłatę przez upadłego długu niew</w:t>
      </w:r>
      <w:r w:rsidR="00793977">
        <w:rPr>
          <w:rFonts w:ascii="Times New Roman" w:eastAsia="Calibri" w:hAnsi="Times New Roman" w:cs="Times New Roman"/>
          <w:sz w:val="24"/>
          <w:szCs w:val="24"/>
        </w:rPr>
        <w:t>ymagalnego, przepis art. 128 PU</w:t>
      </w:r>
      <w:r w:rsidRPr="00A6583F">
        <w:rPr>
          <w:rFonts w:ascii="Times New Roman" w:eastAsia="Calibri" w:hAnsi="Times New Roman" w:cs="Times New Roman"/>
          <w:sz w:val="24"/>
          <w:szCs w:val="24"/>
        </w:rPr>
        <w:t xml:space="preserve"> dotyczy jedynie dokonanych przez upadłego czynności prawnych odpłatnych. Treścią czynności odpłatnych jest spełnienie świadczenia majątkowego w zamian za świadczenie ekwiwalentne. Zgodnie z ich charakterem, upadły w zamian za swoje świadczenie otrzymuje zatem lub ma otrzymać adekwatną korzyść majątkową, w przeciwieństwie do sytuac</w:t>
      </w:r>
      <w:r w:rsidR="00793977">
        <w:rPr>
          <w:rFonts w:ascii="Times New Roman" w:eastAsia="Calibri" w:hAnsi="Times New Roman" w:cs="Times New Roman"/>
          <w:sz w:val="24"/>
          <w:szCs w:val="24"/>
        </w:rPr>
        <w:t>ji przewidzianych w art. 127 PU</w:t>
      </w:r>
      <w:r w:rsidRPr="00A6583F">
        <w:rPr>
          <w:rFonts w:ascii="Times New Roman" w:eastAsia="Calibri" w:hAnsi="Times New Roman" w:cs="Times New Roman"/>
          <w:sz w:val="24"/>
          <w:szCs w:val="24"/>
        </w:rPr>
        <w:t xml:space="preserve">. </w:t>
      </w:r>
      <w:r w:rsidR="00793977">
        <w:rPr>
          <w:rFonts w:ascii="Times New Roman" w:eastAsia="Calibri" w:hAnsi="Times New Roman" w:cs="Times New Roman"/>
          <w:sz w:val="24"/>
          <w:szCs w:val="24"/>
        </w:rPr>
        <w:t xml:space="preserve">W </w:t>
      </w:r>
      <w:r w:rsidRPr="00A6583F">
        <w:rPr>
          <w:rFonts w:ascii="Times New Roman" w:eastAsia="Calibri" w:hAnsi="Times New Roman" w:cs="Times New Roman"/>
          <w:sz w:val="24"/>
          <w:szCs w:val="24"/>
        </w:rPr>
        <w:t>przypadkach</w:t>
      </w:r>
      <w:r w:rsidR="00793977">
        <w:rPr>
          <w:rFonts w:ascii="Times New Roman" w:eastAsia="Calibri" w:hAnsi="Times New Roman" w:cs="Times New Roman"/>
          <w:sz w:val="24"/>
          <w:szCs w:val="24"/>
        </w:rPr>
        <w:t xml:space="preserve"> regulowanych przez art. 128 PU</w:t>
      </w:r>
      <w:r w:rsidRPr="00A6583F">
        <w:rPr>
          <w:rFonts w:ascii="Times New Roman" w:eastAsia="Calibri" w:hAnsi="Times New Roman" w:cs="Times New Roman"/>
          <w:sz w:val="24"/>
          <w:szCs w:val="24"/>
        </w:rPr>
        <w:t xml:space="preserve"> czynności prawne upadłego </w:t>
      </w:r>
      <w:r w:rsidR="00793977">
        <w:rPr>
          <w:rFonts w:ascii="Times New Roman" w:eastAsia="Calibri" w:hAnsi="Times New Roman" w:cs="Times New Roman"/>
          <w:sz w:val="24"/>
          <w:szCs w:val="24"/>
        </w:rPr>
        <w:t>zostają uznane przez sędziego-komisarza za</w:t>
      </w:r>
      <w:r w:rsidRPr="00A6583F">
        <w:rPr>
          <w:rFonts w:ascii="Times New Roman" w:eastAsia="Calibri" w:hAnsi="Times New Roman" w:cs="Times New Roman"/>
          <w:sz w:val="24"/>
          <w:szCs w:val="24"/>
        </w:rPr>
        <w:t xml:space="preserve"> bezskuteczne w stosunku do masy upadłości</w:t>
      </w:r>
      <w:r w:rsidR="00793977">
        <w:rPr>
          <w:rFonts w:ascii="Times New Roman" w:eastAsia="Calibri" w:hAnsi="Times New Roman" w:cs="Times New Roman"/>
          <w:sz w:val="24"/>
          <w:szCs w:val="24"/>
        </w:rPr>
        <w:t xml:space="preserve"> (z </w:t>
      </w:r>
      <w:r w:rsidR="00793977" w:rsidRPr="00793977">
        <w:rPr>
          <w:rFonts w:ascii="Times New Roman" w:eastAsia="Calibri" w:hAnsi="Times New Roman" w:cs="Times New Roman"/>
          <w:sz w:val="24"/>
          <w:szCs w:val="24"/>
        </w:rPr>
        <w:t>urzędu albo na wniosek syndyka</w:t>
      </w:r>
      <w:r w:rsidR="00793977">
        <w:rPr>
          <w:rFonts w:ascii="Times New Roman" w:eastAsia="Calibri" w:hAnsi="Times New Roman" w:cs="Times New Roman"/>
          <w:sz w:val="24"/>
          <w:szCs w:val="24"/>
        </w:rPr>
        <w:t>)</w:t>
      </w:r>
      <w:r w:rsidRPr="00A6583F">
        <w:rPr>
          <w:rFonts w:ascii="Times New Roman" w:eastAsia="Calibri" w:hAnsi="Times New Roman" w:cs="Times New Roman"/>
          <w:sz w:val="24"/>
          <w:szCs w:val="24"/>
        </w:rPr>
        <w:t xml:space="preserve">, nie ze względu na brak odpłatności, lecz ze względu na szczególny stosunek łączący upadłego i drugą stronę danej czynności prawnej. Powoduje on, że pomimo odpłatności dokonanej przez upadłego czynności prawnej istnieje podejrzenie, iż zostały one dokonane w celu pokrzywdzenia wierzycieli upadłego, co uzasadnia </w:t>
      </w:r>
      <w:r w:rsidR="00793977">
        <w:rPr>
          <w:rFonts w:ascii="Times New Roman" w:eastAsia="Calibri" w:hAnsi="Times New Roman" w:cs="Times New Roman"/>
          <w:sz w:val="24"/>
          <w:szCs w:val="24"/>
        </w:rPr>
        <w:t xml:space="preserve">dopuszczenie przez ustawodawcę możliwości </w:t>
      </w:r>
      <w:r w:rsidRPr="00A6583F">
        <w:rPr>
          <w:rFonts w:ascii="Times New Roman" w:eastAsia="Calibri" w:hAnsi="Times New Roman" w:cs="Times New Roman"/>
          <w:sz w:val="24"/>
          <w:szCs w:val="24"/>
        </w:rPr>
        <w:t>uzn</w:t>
      </w:r>
      <w:r w:rsidR="00793977">
        <w:rPr>
          <w:rFonts w:ascii="Times New Roman" w:eastAsia="Calibri" w:hAnsi="Times New Roman" w:cs="Times New Roman"/>
          <w:sz w:val="24"/>
          <w:szCs w:val="24"/>
        </w:rPr>
        <w:t>ania</w:t>
      </w:r>
      <w:r w:rsidRPr="00A6583F">
        <w:rPr>
          <w:rFonts w:ascii="Times New Roman" w:eastAsia="Calibri" w:hAnsi="Times New Roman" w:cs="Times New Roman"/>
          <w:sz w:val="24"/>
          <w:szCs w:val="24"/>
        </w:rPr>
        <w:t xml:space="preserve"> ich za bezskuteczne </w:t>
      </w:r>
      <w:r w:rsidR="00793977">
        <w:rPr>
          <w:rFonts w:ascii="Times New Roman" w:eastAsia="Calibri" w:hAnsi="Times New Roman" w:cs="Times New Roman"/>
          <w:sz w:val="24"/>
          <w:szCs w:val="24"/>
        </w:rPr>
        <w:t>przez sędziego-komisarza</w:t>
      </w:r>
      <w:r w:rsidRPr="00A6583F">
        <w:rPr>
          <w:rFonts w:ascii="Times New Roman" w:eastAsia="Calibri" w:hAnsi="Times New Roman" w:cs="Times New Roman"/>
          <w:sz w:val="24"/>
          <w:szCs w:val="24"/>
        </w:rPr>
        <w:t xml:space="preserve">. </w:t>
      </w:r>
      <w:r w:rsidR="00AA725A" w:rsidRPr="00AA725A">
        <w:rPr>
          <w:rFonts w:ascii="Times New Roman" w:eastAsia="Calibri" w:hAnsi="Times New Roman" w:cs="Times New Roman"/>
          <w:sz w:val="24"/>
          <w:szCs w:val="24"/>
        </w:rPr>
        <w:t>Na postanowienie sędziego-komisarza przysługuje zażalenie.</w:t>
      </w:r>
    </w:p>
    <w:p w:rsidR="00A6583F" w:rsidRPr="00A6583F" w:rsidRDefault="00A6583F" w:rsidP="00793977">
      <w:pPr>
        <w:spacing w:after="0" w:line="360" w:lineRule="auto"/>
        <w:ind w:firstLine="708"/>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lastRenderedPageBreak/>
        <w:t xml:space="preserve">Nie ma przy tym znaczenia, czy konkretna odpłatna czynność prawna upadłego była w pełni ekwiwalentna, czy też </w:t>
      </w:r>
      <w:r w:rsidR="00793977">
        <w:rPr>
          <w:rFonts w:ascii="Times New Roman" w:eastAsia="Calibri" w:hAnsi="Times New Roman" w:cs="Times New Roman"/>
          <w:sz w:val="24"/>
          <w:szCs w:val="24"/>
        </w:rPr>
        <w:t>nie</w:t>
      </w:r>
      <w:r w:rsidR="002347CD">
        <w:rPr>
          <w:rFonts w:ascii="Times New Roman" w:eastAsia="Calibri" w:hAnsi="Times New Roman" w:cs="Times New Roman"/>
          <w:sz w:val="24"/>
          <w:szCs w:val="24"/>
        </w:rPr>
        <w:t>.</w:t>
      </w:r>
      <w:r w:rsidR="00793977">
        <w:rPr>
          <w:rFonts w:ascii="Times New Roman" w:eastAsia="Calibri" w:hAnsi="Times New Roman" w:cs="Times New Roman"/>
          <w:sz w:val="24"/>
          <w:szCs w:val="24"/>
        </w:rPr>
        <w:t xml:space="preserve"> Nie jest również konieczne wykazanie, że czynność tak</w:t>
      </w:r>
      <w:r w:rsidR="00B027A1">
        <w:rPr>
          <w:rFonts w:ascii="Times New Roman" w:eastAsia="Calibri" w:hAnsi="Times New Roman" w:cs="Times New Roman"/>
          <w:sz w:val="24"/>
          <w:szCs w:val="24"/>
        </w:rPr>
        <w:t>a</w:t>
      </w:r>
      <w:r w:rsidR="00793977">
        <w:rPr>
          <w:rFonts w:ascii="Times New Roman" w:eastAsia="Calibri" w:hAnsi="Times New Roman" w:cs="Times New Roman"/>
          <w:sz w:val="24"/>
          <w:szCs w:val="24"/>
        </w:rPr>
        <w:t xml:space="preserve"> istotnie została zdziałana z pokrzywdzeniem wierzycieli. Uznanie czynności prawnej upadłego ze bezskuteczną, mimo dokonania jej z którymś z podmiotów z art. 128 PU i we wskazanym w nim terminie nie nastąpi, gdy </w:t>
      </w:r>
      <w:r w:rsidR="00793977" w:rsidRPr="00793977">
        <w:rPr>
          <w:rFonts w:ascii="Times New Roman" w:eastAsia="Calibri" w:hAnsi="Times New Roman" w:cs="Times New Roman"/>
          <w:sz w:val="24"/>
          <w:szCs w:val="24"/>
        </w:rPr>
        <w:t xml:space="preserve">druga strona </w:t>
      </w:r>
      <w:r w:rsidR="00793977">
        <w:rPr>
          <w:rFonts w:ascii="Times New Roman" w:eastAsia="Calibri" w:hAnsi="Times New Roman" w:cs="Times New Roman"/>
          <w:sz w:val="24"/>
          <w:szCs w:val="24"/>
        </w:rPr>
        <w:t xml:space="preserve">takiej </w:t>
      </w:r>
      <w:r w:rsidR="00793977" w:rsidRPr="00793977">
        <w:rPr>
          <w:rFonts w:ascii="Times New Roman" w:eastAsia="Calibri" w:hAnsi="Times New Roman" w:cs="Times New Roman"/>
          <w:sz w:val="24"/>
          <w:szCs w:val="24"/>
        </w:rPr>
        <w:t>czynności wykaże, że nie doszło do pokrzywdzenia wierzycieli</w:t>
      </w:r>
      <w:r w:rsidR="00793977">
        <w:rPr>
          <w:rFonts w:ascii="Times New Roman" w:eastAsia="Calibri" w:hAnsi="Times New Roman" w:cs="Times New Roman"/>
          <w:sz w:val="24"/>
          <w:szCs w:val="24"/>
        </w:rPr>
        <w:t xml:space="preserve"> – na stronie tej zatem spoczywa ciężar udowodnienia tego faktu.  </w:t>
      </w:r>
    </w:p>
    <w:p w:rsidR="00DE689C" w:rsidRPr="00A6583F" w:rsidRDefault="00DE689C" w:rsidP="00DE689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Przepis art. 128 PU, jak i art. 127 PU wprowadza określone ramy czasowe, warunkujące uznanie danej czynności prawnej upadłego za bezskuteczną stosunku do masy upadłości. Zgodnie z art. 128 ust. 1 PU</w:t>
      </w:r>
      <w:r w:rsidRPr="00A658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sędzia-komisarz uzna za </w:t>
      </w:r>
      <w:r w:rsidRPr="00A6583F">
        <w:rPr>
          <w:rFonts w:ascii="Times New Roman" w:eastAsia="Calibri" w:hAnsi="Times New Roman" w:cs="Times New Roman"/>
          <w:sz w:val="24"/>
          <w:szCs w:val="24"/>
        </w:rPr>
        <w:t>bezskuteczne czynności prawne odpłatne dok</w:t>
      </w:r>
      <w:r>
        <w:rPr>
          <w:rFonts w:ascii="Times New Roman" w:eastAsia="Calibri" w:hAnsi="Times New Roman" w:cs="Times New Roman"/>
          <w:sz w:val="24"/>
          <w:szCs w:val="24"/>
        </w:rPr>
        <w:t xml:space="preserve">onane przez upadłego </w:t>
      </w:r>
      <w:r w:rsidRPr="00A6583F">
        <w:rPr>
          <w:rFonts w:ascii="Times New Roman" w:eastAsia="Calibri" w:hAnsi="Times New Roman" w:cs="Times New Roman"/>
          <w:sz w:val="24"/>
          <w:szCs w:val="24"/>
        </w:rPr>
        <w:t>z wymienionymi w nim osobami w terminie sześciu miesięcy przed dniem złożenia wniosku o ogłoszenie jego upadłości. Termin ten, podo</w:t>
      </w:r>
      <w:r>
        <w:rPr>
          <w:rFonts w:ascii="Times New Roman" w:eastAsia="Calibri" w:hAnsi="Times New Roman" w:cs="Times New Roman"/>
          <w:sz w:val="24"/>
          <w:szCs w:val="24"/>
        </w:rPr>
        <w:t>bnie jak terminy z art. 127 PU.</w:t>
      </w:r>
      <w:r w:rsidRPr="00A6583F">
        <w:rPr>
          <w:rFonts w:ascii="Times New Roman" w:eastAsia="Calibri" w:hAnsi="Times New Roman" w:cs="Times New Roman"/>
          <w:sz w:val="24"/>
          <w:szCs w:val="24"/>
        </w:rPr>
        <w:t xml:space="preserve"> ma przy tym charakter </w:t>
      </w:r>
      <w:proofErr w:type="spellStart"/>
      <w:r w:rsidRPr="00A6583F">
        <w:rPr>
          <w:rFonts w:ascii="Times New Roman" w:eastAsia="Calibri" w:hAnsi="Times New Roman" w:cs="Times New Roman"/>
          <w:sz w:val="24"/>
          <w:szCs w:val="24"/>
        </w:rPr>
        <w:t>materialnoprawny</w:t>
      </w:r>
      <w:proofErr w:type="spellEnd"/>
      <w:r w:rsidRPr="00A6583F">
        <w:rPr>
          <w:rFonts w:ascii="Times New Roman" w:eastAsia="Calibri" w:hAnsi="Times New Roman" w:cs="Times New Roman"/>
          <w:sz w:val="24"/>
          <w:szCs w:val="24"/>
        </w:rPr>
        <w:t>, a zatem obliczany jest zgodnie z przepisami KC. Dla obliczania owego sześciomiesięcznego terminu</w:t>
      </w:r>
      <w:r w:rsidRPr="00A6583F">
        <w:rPr>
          <w:rFonts w:ascii="Times New Roman" w:eastAsia="Calibri" w:hAnsi="Times New Roman" w:cs="Times New Roman"/>
          <w:i/>
          <w:sz w:val="24"/>
          <w:szCs w:val="24"/>
        </w:rPr>
        <w:t xml:space="preserve"> </w:t>
      </w:r>
      <w:r w:rsidRPr="00A6583F">
        <w:rPr>
          <w:rFonts w:ascii="Times New Roman" w:eastAsia="Calibri" w:hAnsi="Times New Roman" w:cs="Times New Roman"/>
          <w:sz w:val="24"/>
          <w:szCs w:val="24"/>
        </w:rPr>
        <w:t>nie ma przy tym znaczenia czy wniosek o ogłoszenie upadłości był złożony przez samego dłużnika, przez któregoś z jego wierzycieli, czy też przez inny z uprawnionych podmiotów.</w:t>
      </w:r>
      <w:r w:rsidRPr="00A6583F">
        <w:rPr>
          <w:rFonts w:ascii="Times New Roman" w:eastAsia="Calibri" w:hAnsi="Times New Roman" w:cs="Times New Roman"/>
          <w:i/>
          <w:sz w:val="24"/>
          <w:szCs w:val="24"/>
        </w:rPr>
        <w:t xml:space="preserve">  </w:t>
      </w:r>
      <w:r w:rsidRPr="00A6583F">
        <w:rPr>
          <w:rFonts w:ascii="Times New Roman" w:eastAsia="Calibri" w:hAnsi="Times New Roman" w:cs="Times New Roman"/>
          <w:sz w:val="24"/>
          <w:szCs w:val="24"/>
        </w:rPr>
        <w:t>Odpłatne czynności prawne dokonane przez dłużnika wcześniej niż w ciągu sześciu miesięcy przed dniem złożenia wniosku o o</w:t>
      </w:r>
      <w:r>
        <w:rPr>
          <w:rFonts w:ascii="Times New Roman" w:eastAsia="Calibri" w:hAnsi="Times New Roman" w:cs="Times New Roman"/>
          <w:sz w:val="24"/>
          <w:szCs w:val="24"/>
        </w:rPr>
        <w:t>głoszenie jego upadłości nie mogą zostać uznane za bezskuteczne przez sędziego-kom</w:t>
      </w:r>
      <w:r w:rsidR="00E47310">
        <w:rPr>
          <w:rFonts w:ascii="Times New Roman" w:eastAsia="Calibri" w:hAnsi="Times New Roman" w:cs="Times New Roman"/>
          <w:sz w:val="24"/>
          <w:szCs w:val="24"/>
        </w:rPr>
        <w:t xml:space="preserve">isarza w oparciu o art. 128 PU, </w:t>
      </w:r>
      <w:r w:rsidRPr="00A6583F">
        <w:rPr>
          <w:rFonts w:ascii="Times New Roman" w:eastAsia="Calibri" w:hAnsi="Times New Roman" w:cs="Times New Roman"/>
          <w:sz w:val="24"/>
          <w:szCs w:val="24"/>
        </w:rPr>
        <w:t>nawet gdy dokonane zostały z osobami</w:t>
      </w:r>
      <w:r>
        <w:rPr>
          <w:rFonts w:ascii="Times New Roman" w:eastAsia="Calibri" w:hAnsi="Times New Roman" w:cs="Times New Roman"/>
          <w:sz w:val="24"/>
          <w:szCs w:val="24"/>
        </w:rPr>
        <w:t xml:space="preserve"> w nim</w:t>
      </w:r>
      <w:r w:rsidRPr="00A6583F">
        <w:rPr>
          <w:rFonts w:ascii="Times New Roman" w:eastAsia="Calibri" w:hAnsi="Times New Roman" w:cs="Times New Roman"/>
          <w:sz w:val="24"/>
          <w:szCs w:val="24"/>
        </w:rPr>
        <w:t xml:space="preserve"> wymienionymi (mogą być natomiast zaskarżone w oparciu o art. 131 PUN na za</w:t>
      </w:r>
      <w:r w:rsidR="00E47310">
        <w:rPr>
          <w:rFonts w:ascii="Times New Roman" w:eastAsia="Calibri" w:hAnsi="Times New Roman" w:cs="Times New Roman"/>
          <w:sz w:val="24"/>
          <w:szCs w:val="24"/>
        </w:rPr>
        <w:t>sadach przewidzianych w art. 527</w:t>
      </w:r>
      <w:r w:rsidRPr="00A6583F">
        <w:rPr>
          <w:rFonts w:ascii="Times New Roman" w:eastAsia="Calibri" w:hAnsi="Times New Roman" w:cs="Times New Roman"/>
          <w:sz w:val="24"/>
          <w:szCs w:val="24"/>
        </w:rPr>
        <w:t xml:space="preserve"> i nast. KC). Należy przy tym brać pod uwagę datę dokonania przez upadłego odpłatnej czynności prawnej, a nie datę spełnienia wynikającego z niej świadczenia. Spełnienie przez upadłego świadczenia w terminie sześciu miesięcy przed dniem złożenia wniosku o ogłoszenie jego upadłości, nie spowoduje więc bezskuteczności tego świadczenia, jeżeli sama czynność prawna dokonana została przed tym okresem. </w:t>
      </w:r>
    </w:p>
    <w:p w:rsidR="00F77B7B" w:rsidRDefault="00DE689C"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Krąg </w:t>
      </w:r>
      <w:r w:rsidRPr="00A6583F">
        <w:rPr>
          <w:rFonts w:ascii="Times New Roman" w:eastAsia="Calibri" w:hAnsi="Times New Roman" w:cs="Times New Roman"/>
          <w:sz w:val="24"/>
          <w:szCs w:val="24"/>
        </w:rPr>
        <w:t>podmiotów</w:t>
      </w:r>
      <w:r>
        <w:rPr>
          <w:rFonts w:ascii="Times New Roman" w:eastAsia="Calibri" w:hAnsi="Times New Roman" w:cs="Times New Roman"/>
          <w:sz w:val="24"/>
          <w:szCs w:val="24"/>
        </w:rPr>
        <w:t xml:space="preserve"> </w:t>
      </w:r>
      <w:r w:rsidRPr="00A6583F">
        <w:rPr>
          <w:rFonts w:ascii="Times New Roman" w:eastAsia="Calibri" w:hAnsi="Times New Roman" w:cs="Times New Roman"/>
          <w:sz w:val="24"/>
          <w:szCs w:val="24"/>
        </w:rPr>
        <w:t xml:space="preserve">w przypadku których dokonanie z nimi przez upadłego odpłatnej czynności prawnej może skutkować </w:t>
      </w:r>
      <w:r>
        <w:rPr>
          <w:rFonts w:ascii="Times New Roman" w:eastAsia="Calibri" w:hAnsi="Times New Roman" w:cs="Times New Roman"/>
          <w:sz w:val="24"/>
          <w:szCs w:val="24"/>
        </w:rPr>
        <w:t xml:space="preserve">uznaniem </w:t>
      </w:r>
      <w:r w:rsidRPr="00A6583F">
        <w:rPr>
          <w:rFonts w:ascii="Times New Roman" w:eastAsia="Calibri" w:hAnsi="Times New Roman" w:cs="Times New Roman"/>
          <w:sz w:val="24"/>
          <w:szCs w:val="24"/>
        </w:rPr>
        <w:t>jej</w:t>
      </w:r>
      <w:r>
        <w:rPr>
          <w:rFonts w:ascii="Times New Roman" w:eastAsia="Calibri" w:hAnsi="Times New Roman" w:cs="Times New Roman"/>
          <w:sz w:val="24"/>
          <w:szCs w:val="24"/>
        </w:rPr>
        <w:t xml:space="preserve"> przez sędziego-komisarza</w:t>
      </w:r>
      <w:r w:rsidRPr="00A6583F">
        <w:rPr>
          <w:rFonts w:ascii="Times New Roman" w:eastAsia="Calibri" w:hAnsi="Times New Roman" w:cs="Times New Roman"/>
          <w:sz w:val="24"/>
          <w:szCs w:val="24"/>
        </w:rPr>
        <w:t xml:space="preserve"> </w:t>
      </w:r>
      <w:r>
        <w:rPr>
          <w:rFonts w:ascii="Times New Roman" w:eastAsia="Calibri" w:hAnsi="Times New Roman" w:cs="Times New Roman"/>
          <w:sz w:val="24"/>
          <w:szCs w:val="24"/>
        </w:rPr>
        <w:t>za bezskuteczną</w:t>
      </w:r>
      <w:r w:rsidRPr="00A6583F">
        <w:rPr>
          <w:rFonts w:ascii="Times New Roman" w:eastAsia="Calibri" w:hAnsi="Times New Roman" w:cs="Times New Roman"/>
          <w:sz w:val="24"/>
          <w:szCs w:val="24"/>
        </w:rPr>
        <w:t xml:space="preserve"> w stosunku do masy upadłości</w:t>
      </w:r>
      <w:r>
        <w:rPr>
          <w:rFonts w:ascii="Times New Roman" w:eastAsia="Calibri" w:hAnsi="Times New Roman" w:cs="Times New Roman"/>
          <w:sz w:val="24"/>
          <w:szCs w:val="24"/>
        </w:rPr>
        <w:t xml:space="preserve"> został w art. 128 PU ściśle określony</w:t>
      </w:r>
      <w:r w:rsidR="00A6583F" w:rsidRPr="00A6583F">
        <w:rPr>
          <w:rFonts w:ascii="Times New Roman" w:eastAsia="Calibri" w:hAnsi="Times New Roman" w:cs="Times New Roman"/>
          <w:sz w:val="24"/>
          <w:szCs w:val="24"/>
        </w:rPr>
        <w:t xml:space="preserve">. </w:t>
      </w:r>
      <w:r>
        <w:rPr>
          <w:rFonts w:ascii="Times New Roman" w:eastAsia="Calibri" w:hAnsi="Times New Roman" w:cs="Times New Roman"/>
          <w:sz w:val="24"/>
          <w:szCs w:val="24"/>
        </w:rPr>
        <w:t>N</w:t>
      </w:r>
      <w:r w:rsidR="00A6583F" w:rsidRPr="00A6583F">
        <w:rPr>
          <w:rFonts w:ascii="Times New Roman" w:eastAsia="Calibri" w:hAnsi="Times New Roman" w:cs="Times New Roman"/>
          <w:sz w:val="24"/>
          <w:szCs w:val="24"/>
        </w:rPr>
        <w:t>ie może</w:t>
      </w:r>
      <w:r>
        <w:rPr>
          <w:rFonts w:ascii="Times New Roman" w:eastAsia="Calibri" w:hAnsi="Times New Roman" w:cs="Times New Roman"/>
          <w:sz w:val="24"/>
          <w:szCs w:val="24"/>
        </w:rPr>
        <w:t xml:space="preserve"> on</w:t>
      </w:r>
      <w:r w:rsidR="00A6583F" w:rsidRPr="00A6583F">
        <w:rPr>
          <w:rFonts w:ascii="Times New Roman" w:eastAsia="Calibri" w:hAnsi="Times New Roman" w:cs="Times New Roman"/>
          <w:sz w:val="24"/>
          <w:szCs w:val="24"/>
        </w:rPr>
        <w:t xml:space="preserve"> być przy tym rozszerzany. </w:t>
      </w:r>
      <w:r w:rsidR="00F77B7B">
        <w:rPr>
          <w:rFonts w:ascii="Times New Roman" w:eastAsia="Calibri" w:hAnsi="Times New Roman" w:cs="Times New Roman"/>
          <w:sz w:val="24"/>
          <w:szCs w:val="24"/>
        </w:rPr>
        <w:t>Podmiotami tymi są:</w:t>
      </w:r>
    </w:p>
    <w:p w:rsidR="00F77B7B" w:rsidRPr="00F77B7B" w:rsidRDefault="00F77B7B" w:rsidP="00F77B7B">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F77B7B">
        <w:rPr>
          <w:rFonts w:ascii="Times New Roman" w:eastAsia="Calibri" w:hAnsi="Times New Roman" w:cs="Times New Roman"/>
          <w:sz w:val="24"/>
          <w:szCs w:val="24"/>
        </w:rPr>
        <w:t>ałżonek, krewny lub powinowaty w linii prostej, krewny lub powinowaty w linii bocznej do drugiego stopnia włącznie, osoba pozostająca z upadłym w faktycznym związku, prowadząc z nim wspólnie gospodarstwo domowe albo przysposobiony lub przysposabiający (art.</w:t>
      </w:r>
      <w:r w:rsidR="00AA725A">
        <w:rPr>
          <w:rFonts w:ascii="Times New Roman" w:eastAsia="Calibri" w:hAnsi="Times New Roman" w:cs="Times New Roman"/>
          <w:sz w:val="24"/>
          <w:szCs w:val="24"/>
        </w:rPr>
        <w:t xml:space="preserve"> 128 ust. 1 PU). </w:t>
      </w:r>
      <w:r w:rsidR="00AA725A" w:rsidRPr="00A6583F">
        <w:rPr>
          <w:rFonts w:ascii="Times New Roman" w:eastAsia="Calibri" w:hAnsi="Times New Roman" w:cs="Times New Roman"/>
          <w:sz w:val="24"/>
          <w:szCs w:val="24"/>
        </w:rPr>
        <w:t xml:space="preserve">Podkreślić należy, że stosunek pokrewieństwa, powinowactwa lub przysposobienia musi istnieć w chwili dokonywania przez </w:t>
      </w:r>
      <w:r w:rsidR="00AA725A" w:rsidRPr="00A6583F">
        <w:rPr>
          <w:rFonts w:ascii="Times New Roman" w:eastAsia="Calibri" w:hAnsi="Times New Roman" w:cs="Times New Roman"/>
          <w:sz w:val="24"/>
          <w:szCs w:val="24"/>
        </w:rPr>
        <w:lastRenderedPageBreak/>
        <w:t>upadłego danej czynności prawnej. Późniejsze zmiany tego stosunku, nawet gdy nastąpią przed złożeniem wniosku o ogłoszenie upadłości nie stanowią podstawy do zas</w:t>
      </w:r>
      <w:r w:rsidR="00AA725A">
        <w:rPr>
          <w:rFonts w:ascii="Times New Roman" w:eastAsia="Calibri" w:hAnsi="Times New Roman" w:cs="Times New Roman"/>
          <w:sz w:val="24"/>
          <w:szCs w:val="24"/>
        </w:rPr>
        <w:t>tosowania regulacji art. 128 PU</w:t>
      </w:r>
      <w:r w:rsidR="00AA725A" w:rsidRPr="00A6583F">
        <w:rPr>
          <w:rFonts w:ascii="Times New Roman" w:eastAsia="Calibri" w:hAnsi="Times New Roman" w:cs="Times New Roman"/>
          <w:sz w:val="24"/>
          <w:szCs w:val="24"/>
        </w:rPr>
        <w:t xml:space="preserve"> (choć fakt ten może zostać podniesiony w przypadku zaskarżenia czynności upadłego w oparciu o art. 527</w:t>
      </w:r>
      <w:r w:rsidR="00AA725A">
        <w:rPr>
          <w:rFonts w:ascii="Times New Roman" w:eastAsia="Calibri" w:hAnsi="Times New Roman" w:cs="Times New Roman"/>
          <w:sz w:val="24"/>
          <w:szCs w:val="24"/>
        </w:rPr>
        <w:t xml:space="preserve"> i nast. KC w zw. z art. 131 PU</w:t>
      </w:r>
      <w:r w:rsidR="00AA725A" w:rsidRPr="00A6583F">
        <w:rPr>
          <w:rFonts w:ascii="Times New Roman" w:eastAsia="Calibri" w:hAnsi="Times New Roman" w:cs="Times New Roman"/>
          <w:sz w:val="24"/>
          <w:szCs w:val="24"/>
        </w:rPr>
        <w:t>).</w:t>
      </w:r>
    </w:p>
    <w:p w:rsidR="00F77B7B" w:rsidRDefault="00F77B7B" w:rsidP="00F77B7B">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Spółka</w:t>
      </w:r>
      <w:r w:rsidRPr="00F77B7B">
        <w:rPr>
          <w:rFonts w:ascii="Times New Roman" w:eastAsia="Calibri" w:hAnsi="Times New Roman" w:cs="Times New Roman"/>
          <w:sz w:val="24"/>
          <w:szCs w:val="24"/>
        </w:rPr>
        <w:t>, w której upadły jest członkiem zarządu, jedynym wspólni</w:t>
      </w:r>
      <w:r w:rsidR="00E47310">
        <w:rPr>
          <w:rFonts w:ascii="Times New Roman" w:eastAsia="Calibri" w:hAnsi="Times New Roman" w:cs="Times New Roman"/>
          <w:sz w:val="24"/>
          <w:szCs w:val="24"/>
        </w:rPr>
        <w:t xml:space="preserve">kiem lub akcjonariuszem, oraz </w:t>
      </w:r>
      <w:r w:rsidRPr="00F77B7B">
        <w:rPr>
          <w:rFonts w:ascii="Times New Roman" w:eastAsia="Calibri" w:hAnsi="Times New Roman" w:cs="Times New Roman"/>
          <w:sz w:val="24"/>
          <w:szCs w:val="24"/>
        </w:rPr>
        <w:t>spó</w:t>
      </w:r>
      <w:r>
        <w:rPr>
          <w:rFonts w:ascii="Times New Roman" w:eastAsia="Calibri" w:hAnsi="Times New Roman" w:cs="Times New Roman"/>
          <w:sz w:val="24"/>
          <w:szCs w:val="24"/>
        </w:rPr>
        <w:t>łki</w:t>
      </w:r>
      <w:r w:rsidRPr="00F77B7B">
        <w:rPr>
          <w:rFonts w:ascii="Times New Roman" w:eastAsia="Calibri" w:hAnsi="Times New Roman" w:cs="Times New Roman"/>
          <w:sz w:val="24"/>
          <w:szCs w:val="24"/>
        </w:rPr>
        <w:t>, w których osoby</w:t>
      </w:r>
      <w:r>
        <w:rPr>
          <w:rFonts w:ascii="Times New Roman" w:eastAsia="Calibri" w:hAnsi="Times New Roman" w:cs="Times New Roman"/>
          <w:sz w:val="24"/>
          <w:szCs w:val="24"/>
        </w:rPr>
        <w:t xml:space="preserve"> wyżej wymienione w pkt</w:t>
      </w:r>
      <w:r w:rsidRPr="00F77B7B">
        <w:rPr>
          <w:rFonts w:ascii="Times New Roman" w:eastAsia="Calibri" w:hAnsi="Times New Roman" w:cs="Times New Roman"/>
          <w:sz w:val="24"/>
          <w:szCs w:val="24"/>
        </w:rPr>
        <w:t>. 1 są członkami zarządu lub jedynymi wspólnikami lub akcjonariuszami</w:t>
      </w:r>
      <w:r>
        <w:rPr>
          <w:rFonts w:ascii="Times New Roman" w:eastAsia="Calibri" w:hAnsi="Times New Roman" w:cs="Times New Roman"/>
          <w:sz w:val="24"/>
          <w:szCs w:val="24"/>
        </w:rPr>
        <w:t xml:space="preserve"> (art. 128 ust. 1a)</w:t>
      </w:r>
    </w:p>
    <w:p w:rsidR="00AA725A" w:rsidRDefault="00F77B7B" w:rsidP="00AA725A">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Wspólnicy upadłego będącego spółką, jej reprezentanci lub ich małżonkowie, jak również spółki powiązane, ich wspólnicy, reprezentanci lub małżonkowie</w:t>
      </w:r>
      <w:r w:rsidRPr="00F77B7B">
        <w:rPr>
          <w:rFonts w:ascii="Times New Roman" w:eastAsia="Calibri" w:hAnsi="Times New Roman" w:cs="Times New Roman"/>
          <w:sz w:val="24"/>
          <w:szCs w:val="24"/>
        </w:rPr>
        <w:t xml:space="preserve"> tych osób</w:t>
      </w:r>
      <w:r>
        <w:rPr>
          <w:rFonts w:ascii="Times New Roman" w:eastAsia="Calibri" w:hAnsi="Times New Roman" w:cs="Times New Roman"/>
          <w:sz w:val="24"/>
          <w:szCs w:val="24"/>
        </w:rPr>
        <w:t>.</w:t>
      </w:r>
      <w:r w:rsidR="00AA725A">
        <w:rPr>
          <w:rFonts w:ascii="Times New Roman" w:eastAsia="Calibri" w:hAnsi="Times New Roman" w:cs="Times New Roman"/>
          <w:sz w:val="24"/>
          <w:szCs w:val="24"/>
        </w:rPr>
        <w:t xml:space="preserve"> </w:t>
      </w:r>
      <w:r w:rsidR="00AA725A" w:rsidRPr="00A6583F">
        <w:rPr>
          <w:rFonts w:ascii="Times New Roman" w:eastAsia="Calibri" w:hAnsi="Times New Roman" w:cs="Times New Roman"/>
          <w:sz w:val="24"/>
          <w:szCs w:val="24"/>
        </w:rPr>
        <w:t xml:space="preserve">Jak zaznacza </w:t>
      </w:r>
      <w:r w:rsidR="00AA725A" w:rsidRPr="00A6583F">
        <w:rPr>
          <w:rFonts w:ascii="Times New Roman" w:eastAsia="Calibri" w:hAnsi="Times New Roman" w:cs="Times New Roman"/>
          <w:i/>
          <w:sz w:val="24"/>
          <w:szCs w:val="24"/>
        </w:rPr>
        <w:t xml:space="preserve">D. </w:t>
      </w:r>
      <w:proofErr w:type="spellStart"/>
      <w:r w:rsidR="00AA725A" w:rsidRPr="00A6583F">
        <w:rPr>
          <w:rFonts w:ascii="Times New Roman" w:eastAsia="Calibri" w:hAnsi="Times New Roman" w:cs="Times New Roman"/>
          <w:i/>
          <w:sz w:val="24"/>
          <w:szCs w:val="24"/>
        </w:rPr>
        <w:t>Chrapoński</w:t>
      </w:r>
      <w:proofErr w:type="spellEnd"/>
      <w:r w:rsidR="00AA725A" w:rsidRPr="00A6583F">
        <w:rPr>
          <w:rFonts w:ascii="Times New Roman" w:eastAsia="Calibri" w:hAnsi="Times New Roman" w:cs="Times New Roman"/>
          <w:sz w:val="24"/>
          <w:szCs w:val="24"/>
        </w:rPr>
        <w:t xml:space="preserve"> „przez pojęcie wspólnika należy rozumieć: wspólników spółek osobowych i spółki z ograniczoną odpowiedzialnością”,</w:t>
      </w:r>
      <w:r w:rsidR="00AA725A" w:rsidRPr="00AA725A">
        <w:rPr>
          <w:rFonts w:ascii="Times New Roman" w:eastAsia="Calibri" w:hAnsi="Times New Roman" w:cs="Times New Roman"/>
          <w:sz w:val="24"/>
          <w:szCs w:val="24"/>
        </w:rPr>
        <w:t xml:space="preserve"> </w:t>
      </w:r>
      <w:r w:rsidR="00AA725A" w:rsidRPr="00A6583F">
        <w:rPr>
          <w:rFonts w:ascii="Times New Roman" w:eastAsia="Calibri" w:hAnsi="Times New Roman" w:cs="Times New Roman"/>
          <w:sz w:val="24"/>
          <w:szCs w:val="24"/>
        </w:rPr>
        <w:t>co wyłącza z zakresu tego pojęcia akcjonariuszy. Stanowisko to należy uznać za słuszne.</w:t>
      </w:r>
    </w:p>
    <w:p w:rsidR="00AA725A" w:rsidRPr="00AA725A" w:rsidRDefault="00AA725A" w:rsidP="00AA725A">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Przepis art. 128 ust. 1 PU</w:t>
      </w:r>
      <w:r w:rsidR="00F77B7B" w:rsidRPr="00AA725A">
        <w:rPr>
          <w:rFonts w:ascii="Times New Roman" w:eastAsia="Calibri" w:hAnsi="Times New Roman" w:cs="Times New Roman"/>
          <w:sz w:val="24"/>
          <w:szCs w:val="24"/>
        </w:rPr>
        <w:t xml:space="preserve"> stosuje się również do czynności upadłego będącego spółką, których dokonał z inną spółką, jeżeli jedna z nich była spółką dominującą, a także jeżeli ta sama spółka jest spółką dominującą w stosunku do upadłego i drugiej strony czynności.</w:t>
      </w:r>
      <w:r w:rsidRPr="00AA725A">
        <w:rPr>
          <w:rFonts w:ascii="Times New Roman" w:eastAsia="Calibri" w:hAnsi="Times New Roman" w:cs="Times New Roman"/>
          <w:sz w:val="24"/>
          <w:szCs w:val="24"/>
        </w:rPr>
        <w:t xml:space="preserve"> Analogicznie do sytuacji z art. 128 ust. 1 PUN, należy przy tym uznać, że ów stosunek dominacji pomiędzy spółkami istnieć musi już w momencie dokonywania bezskutecznej czynności prawnej, a nie dopiero (czy też – już nie) w momencie złożenia wniosku o ogłoszenie upadłości jednej z tych spółek.</w:t>
      </w:r>
    </w:p>
    <w:p w:rsidR="00A6583F" w:rsidRPr="00A6583F" w:rsidRDefault="00A6583F" w:rsidP="00F77B7B">
      <w:pPr>
        <w:spacing w:after="0" w:line="360" w:lineRule="auto"/>
        <w:ind w:firstLine="360"/>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W przypadku czynności prawnych dokonanych przez upadłego z osobami</w:t>
      </w:r>
      <w:r w:rsidR="00DE689C">
        <w:rPr>
          <w:rFonts w:ascii="Times New Roman" w:eastAsia="Calibri" w:hAnsi="Times New Roman" w:cs="Times New Roman"/>
          <w:sz w:val="24"/>
          <w:szCs w:val="24"/>
        </w:rPr>
        <w:t xml:space="preserve"> nie wymienionymi w art. 128 PU</w:t>
      </w:r>
      <w:r w:rsidRPr="00A6583F">
        <w:rPr>
          <w:rFonts w:ascii="Times New Roman" w:eastAsia="Calibri" w:hAnsi="Times New Roman" w:cs="Times New Roman"/>
          <w:sz w:val="24"/>
          <w:szCs w:val="24"/>
        </w:rPr>
        <w:t>, ich skuteczność wobec masy upadłości należy zatem oceniać według innych przepisów prawa upadło</w:t>
      </w:r>
      <w:r w:rsidR="00DE689C">
        <w:rPr>
          <w:rFonts w:ascii="Times New Roman" w:eastAsia="Calibri" w:hAnsi="Times New Roman" w:cs="Times New Roman"/>
          <w:sz w:val="24"/>
          <w:szCs w:val="24"/>
        </w:rPr>
        <w:t>ściowego (zwłaszcza art. 127 PU</w:t>
      </w:r>
      <w:r w:rsidRPr="00A6583F">
        <w:rPr>
          <w:rFonts w:ascii="Times New Roman" w:eastAsia="Calibri" w:hAnsi="Times New Roman" w:cs="Times New Roman"/>
          <w:sz w:val="24"/>
          <w:szCs w:val="24"/>
        </w:rPr>
        <w:t>). W oparciu o</w:t>
      </w:r>
      <w:r w:rsidR="00DE689C">
        <w:rPr>
          <w:rFonts w:ascii="Times New Roman" w:eastAsia="Calibri" w:hAnsi="Times New Roman" w:cs="Times New Roman"/>
          <w:sz w:val="24"/>
          <w:szCs w:val="24"/>
        </w:rPr>
        <w:t xml:space="preserve"> art. 131 PU</w:t>
      </w:r>
      <w:r w:rsidRPr="00A6583F">
        <w:rPr>
          <w:rFonts w:ascii="Times New Roman" w:eastAsia="Calibri" w:hAnsi="Times New Roman" w:cs="Times New Roman"/>
          <w:sz w:val="24"/>
          <w:szCs w:val="24"/>
        </w:rPr>
        <w:t xml:space="preserve"> mogą one również podlegać zaskarżeniu na za</w:t>
      </w:r>
      <w:r w:rsidR="00E47310">
        <w:rPr>
          <w:rFonts w:ascii="Times New Roman" w:eastAsia="Calibri" w:hAnsi="Times New Roman" w:cs="Times New Roman"/>
          <w:sz w:val="24"/>
          <w:szCs w:val="24"/>
        </w:rPr>
        <w:t>sadach przewidzianych w art. 527</w:t>
      </w:r>
      <w:r w:rsidRPr="00A6583F">
        <w:rPr>
          <w:rFonts w:ascii="Times New Roman" w:eastAsia="Calibri" w:hAnsi="Times New Roman" w:cs="Times New Roman"/>
          <w:sz w:val="24"/>
          <w:szCs w:val="24"/>
        </w:rPr>
        <w:t xml:space="preserve"> i nast. KC.  Zaznaczyć należy również, że kwestię ewentualnej bezskuteczności dokonanych przez upadłego z oso</w:t>
      </w:r>
      <w:r w:rsidR="00DE689C">
        <w:rPr>
          <w:rFonts w:ascii="Times New Roman" w:eastAsia="Calibri" w:hAnsi="Times New Roman" w:cs="Times New Roman"/>
          <w:sz w:val="24"/>
          <w:szCs w:val="24"/>
        </w:rPr>
        <w:t>bami wymienionymi w art. 128 PU</w:t>
      </w:r>
      <w:r w:rsidRPr="00A6583F">
        <w:rPr>
          <w:rFonts w:ascii="Times New Roman" w:eastAsia="Calibri" w:hAnsi="Times New Roman" w:cs="Times New Roman"/>
          <w:sz w:val="24"/>
          <w:szCs w:val="24"/>
        </w:rPr>
        <w:t xml:space="preserve"> czynności prawnych o charakterze nieodpłatnym oceniać </w:t>
      </w:r>
      <w:r w:rsidR="00DE689C">
        <w:rPr>
          <w:rFonts w:ascii="Times New Roman" w:eastAsia="Calibri" w:hAnsi="Times New Roman" w:cs="Times New Roman"/>
          <w:sz w:val="24"/>
          <w:szCs w:val="24"/>
        </w:rPr>
        <w:t>należy na podstawie art. 127 PU</w:t>
      </w:r>
      <w:r w:rsidRPr="00A6583F">
        <w:rPr>
          <w:rFonts w:ascii="Times New Roman" w:eastAsia="Calibri" w:hAnsi="Times New Roman" w:cs="Times New Roman"/>
          <w:sz w:val="24"/>
          <w:szCs w:val="24"/>
        </w:rPr>
        <w:t xml:space="preserve">, a nie art. 128 PU.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F77B7B">
        <w:rPr>
          <w:rFonts w:ascii="Times New Roman" w:eastAsia="Calibri" w:hAnsi="Times New Roman" w:cs="Times New Roman"/>
          <w:sz w:val="24"/>
          <w:szCs w:val="24"/>
        </w:rPr>
        <w:t xml:space="preserve">Podsumowując powyższe rozważania </w:t>
      </w:r>
      <w:r w:rsidR="00E47310">
        <w:rPr>
          <w:rFonts w:ascii="Times New Roman" w:eastAsia="Calibri" w:hAnsi="Times New Roman" w:cs="Times New Roman"/>
          <w:sz w:val="24"/>
          <w:szCs w:val="24"/>
        </w:rPr>
        <w:t>podkreślić</w:t>
      </w:r>
      <w:r w:rsidR="00F77B7B">
        <w:rPr>
          <w:rFonts w:ascii="Times New Roman" w:eastAsia="Calibri" w:hAnsi="Times New Roman" w:cs="Times New Roman"/>
          <w:sz w:val="24"/>
          <w:szCs w:val="24"/>
        </w:rPr>
        <w:t xml:space="preserve"> należy, że przepis art. 128 PU</w:t>
      </w:r>
      <w:r w:rsidRPr="00A6583F">
        <w:rPr>
          <w:rFonts w:ascii="Times New Roman" w:eastAsia="Calibri" w:hAnsi="Times New Roman" w:cs="Times New Roman"/>
          <w:sz w:val="24"/>
          <w:szCs w:val="24"/>
        </w:rPr>
        <w:t xml:space="preserve"> obejmuje swoim zakresem przypadki, gdy spełnione zostają </w:t>
      </w:r>
      <w:r w:rsidRPr="00E47310">
        <w:rPr>
          <w:rFonts w:ascii="Times New Roman" w:eastAsia="Calibri" w:hAnsi="Times New Roman" w:cs="Times New Roman"/>
          <w:b/>
          <w:sz w:val="24"/>
          <w:szCs w:val="24"/>
        </w:rPr>
        <w:t xml:space="preserve">trzy przesłanki, </w:t>
      </w:r>
      <w:r w:rsidR="00F77B7B" w:rsidRPr="00E47310">
        <w:rPr>
          <w:rFonts w:ascii="Times New Roman" w:eastAsia="Calibri" w:hAnsi="Times New Roman" w:cs="Times New Roman"/>
          <w:b/>
          <w:sz w:val="24"/>
          <w:szCs w:val="24"/>
        </w:rPr>
        <w:t>występujące</w:t>
      </w:r>
      <w:r w:rsidRPr="00E47310">
        <w:rPr>
          <w:rFonts w:ascii="Times New Roman" w:eastAsia="Calibri" w:hAnsi="Times New Roman" w:cs="Times New Roman"/>
          <w:b/>
          <w:sz w:val="24"/>
          <w:szCs w:val="24"/>
        </w:rPr>
        <w:t xml:space="preserve"> kumulatywnie</w:t>
      </w:r>
      <w:r w:rsidRPr="00A6583F">
        <w:rPr>
          <w:rFonts w:ascii="Times New Roman" w:eastAsia="Calibri" w:hAnsi="Times New Roman" w:cs="Times New Roman"/>
          <w:sz w:val="24"/>
          <w:szCs w:val="24"/>
        </w:rPr>
        <w:t>:</w:t>
      </w:r>
    </w:p>
    <w:p w:rsidR="00A6583F" w:rsidRPr="00A6583F" w:rsidRDefault="00A6583F" w:rsidP="00A6583F">
      <w:pPr>
        <w:numPr>
          <w:ilvl w:val="0"/>
          <w:numId w:val="17"/>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Dokonanie przez dłużnika – późniejszego upadłego odpłatnej czynności prawnej;</w:t>
      </w:r>
    </w:p>
    <w:p w:rsidR="00A6583F" w:rsidRPr="00A6583F" w:rsidRDefault="00A6583F" w:rsidP="00A6583F">
      <w:pPr>
        <w:numPr>
          <w:ilvl w:val="0"/>
          <w:numId w:val="17"/>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Dokonanie tej czynności w terminie sześciu miesięcy przed złożeniem wniosku o ogłoszenie upadłości tego dłużnika;</w:t>
      </w:r>
    </w:p>
    <w:p w:rsidR="00A6583F" w:rsidRPr="00A6583F" w:rsidRDefault="00A6583F" w:rsidP="00A6583F">
      <w:pPr>
        <w:numPr>
          <w:ilvl w:val="0"/>
          <w:numId w:val="17"/>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lastRenderedPageBreak/>
        <w:t>Dokonanie tej czynności z jedną z osób określonych w art.</w:t>
      </w:r>
      <w:r w:rsidR="00E47310">
        <w:rPr>
          <w:rFonts w:ascii="Times New Roman" w:eastAsia="Calibri" w:hAnsi="Times New Roman" w:cs="Times New Roman"/>
          <w:sz w:val="24"/>
          <w:szCs w:val="24"/>
        </w:rPr>
        <w:t xml:space="preserve"> 128 PU</w:t>
      </w:r>
      <w:r w:rsidRPr="00A6583F">
        <w:rPr>
          <w:rFonts w:ascii="Times New Roman" w:eastAsia="Calibri" w:hAnsi="Times New Roman" w:cs="Times New Roman"/>
          <w:sz w:val="24"/>
          <w:szCs w:val="24"/>
        </w:rPr>
        <w:t xml:space="preserve"> (w ust. 1 – 3), przy cz</w:t>
      </w:r>
      <w:r w:rsidR="00E47310">
        <w:rPr>
          <w:rFonts w:ascii="Times New Roman" w:eastAsia="Calibri" w:hAnsi="Times New Roman" w:cs="Times New Roman"/>
          <w:sz w:val="24"/>
          <w:szCs w:val="24"/>
        </w:rPr>
        <w:t>ym ich wyliczenie z art. 128 PU</w:t>
      </w:r>
      <w:r w:rsidRPr="00A6583F">
        <w:rPr>
          <w:rFonts w:ascii="Times New Roman" w:eastAsia="Calibri" w:hAnsi="Times New Roman" w:cs="Times New Roman"/>
          <w:sz w:val="24"/>
          <w:szCs w:val="24"/>
        </w:rPr>
        <w:t xml:space="preserve"> ma charakter wyczerpujący.</w:t>
      </w:r>
    </w:p>
    <w:p w:rsidR="00AA725A"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p>
    <w:p w:rsidR="00A6583F" w:rsidRPr="00D51A5D" w:rsidRDefault="00D51A5D" w:rsidP="00D51A5D">
      <w:pPr>
        <w:pStyle w:val="Akapitzlist"/>
        <w:numPr>
          <w:ilvl w:val="1"/>
          <w:numId w:val="47"/>
        </w:numPr>
        <w:spacing w:after="0" w:line="360" w:lineRule="auto"/>
        <w:ind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47974" w:rsidRPr="00D51A5D">
        <w:rPr>
          <w:rFonts w:ascii="Times New Roman" w:eastAsia="Calibri" w:hAnsi="Times New Roman" w:cs="Times New Roman"/>
          <w:b/>
          <w:sz w:val="24"/>
          <w:szCs w:val="24"/>
        </w:rPr>
        <w:t>Uznanie czynności prawnej upadłego za bezskuteczną w oparciu o</w:t>
      </w:r>
      <w:r w:rsidRPr="00D51A5D">
        <w:rPr>
          <w:rFonts w:ascii="Times New Roman" w:eastAsia="Calibri" w:hAnsi="Times New Roman" w:cs="Times New Roman"/>
          <w:b/>
          <w:sz w:val="24"/>
          <w:szCs w:val="24"/>
        </w:rPr>
        <w:t xml:space="preserve"> art. 130 PU</w:t>
      </w:r>
    </w:p>
    <w:p w:rsidR="00D51A5D" w:rsidRDefault="00D51A5D" w:rsidP="00A6583F">
      <w:pPr>
        <w:spacing w:after="0" w:line="360" w:lineRule="auto"/>
        <w:jc w:val="both"/>
        <w:rPr>
          <w:rFonts w:ascii="Times New Roman" w:eastAsia="Calibri" w:hAnsi="Times New Roman" w:cs="Times New Roman"/>
          <w:sz w:val="24"/>
          <w:szCs w:val="24"/>
        </w:rPr>
      </w:pP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Zgodnie z </w:t>
      </w:r>
      <w:r w:rsidR="00447974">
        <w:rPr>
          <w:rFonts w:ascii="Times New Roman" w:eastAsia="Calibri" w:hAnsi="Times New Roman" w:cs="Times New Roman"/>
          <w:sz w:val="24"/>
          <w:szCs w:val="24"/>
        </w:rPr>
        <w:t>art. 130 ust. 1 PU</w:t>
      </w:r>
      <w:r w:rsidRPr="00A6583F">
        <w:rPr>
          <w:rFonts w:ascii="Times New Roman" w:eastAsia="Calibri" w:hAnsi="Times New Roman" w:cs="Times New Roman"/>
          <w:sz w:val="24"/>
          <w:szCs w:val="24"/>
        </w:rPr>
        <w:t>, sędz</w:t>
      </w:r>
      <w:r w:rsidR="00447974">
        <w:rPr>
          <w:rFonts w:ascii="Times New Roman" w:eastAsia="Calibri" w:hAnsi="Times New Roman" w:cs="Times New Roman"/>
          <w:sz w:val="24"/>
          <w:szCs w:val="24"/>
        </w:rPr>
        <w:t xml:space="preserve">ia-komisarz na wniosek syndyka </w:t>
      </w:r>
      <w:r w:rsidRPr="00A6583F">
        <w:rPr>
          <w:rFonts w:ascii="Times New Roman" w:eastAsia="Calibri" w:hAnsi="Times New Roman" w:cs="Times New Roman"/>
          <w:sz w:val="24"/>
          <w:szCs w:val="24"/>
        </w:rPr>
        <w:t>uzna za bezskuteczne w stosunku do masy upadłości obciążenie majątku upadłego hipoteką, zastawem, zastawem rejestrowym lub hipoteką morską, jeżeli upadły nie był dłużnikiem osobistym zabezpieczonego wierzyciela, a obciążenie to zostało</w:t>
      </w:r>
      <w:r w:rsidR="00447974">
        <w:rPr>
          <w:rFonts w:ascii="Times New Roman" w:eastAsia="Calibri" w:hAnsi="Times New Roman" w:cs="Times New Roman"/>
          <w:sz w:val="24"/>
          <w:szCs w:val="24"/>
        </w:rPr>
        <w:t xml:space="preserve"> </w:t>
      </w:r>
      <w:r w:rsidRPr="00A6583F">
        <w:rPr>
          <w:rFonts w:ascii="Times New Roman" w:eastAsia="Calibri" w:hAnsi="Times New Roman" w:cs="Times New Roman"/>
          <w:sz w:val="24"/>
          <w:szCs w:val="24"/>
        </w:rPr>
        <w:t>ustanowione w ciągu roku przed dniem złożenia wniosku o ogłoszenie upadłości i w związku z jego ustanowieniem upadły nie otrzymał żadnego świadczenia. Przepis ten stwarza zatem ogólną podstawę do uznania przez sędziego-komisarza za bezskuteczne w stosunku do masy upadłości obciążenie majątku upadłego prawami zastawniczymi, jeżeli upadły nie był dłużnikiem osobistym zabezpieczonego wierzyciela, a obciążenie to zostało ustanowione w ciągu roku przed dniem złożenia wniosku o ogłoszenie jego upadłości. Ponadto zachodzić musi przynajmniej jedna z przesłanek, określony</w:t>
      </w:r>
      <w:r w:rsidR="00447974">
        <w:rPr>
          <w:rFonts w:ascii="Times New Roman" w:eastAsia="Calibri" w:hAnsi="Times New Roman" w:cs="Times New Roman"/>
          <w:sz w:val="24"/>
          <w:szCs w:val="24"/>
        </w:rPr>
        <w:t>ch w ust. od 1 do 3 art. 130 PU</w:t>
      </w:r>
      <w:r w:rsidRPr="00A6583F">
        <w:rPr>
          <w:rFonts w:ascii="Times New Roman" w:eastAsia="Calibri" w:hAnsi="Times New Roman" w:cs="Times New Roman"/>
          <w:sz w:val="24"/>
          <w:szCs w:val="24"/>
        </w:rPr>
        <w:t xml:space="preserve">.  W ślad za </w:t>
      </w:r>
      <w:r w:rsidRPr="00A6583F">
        <w:rPr>
          <w:rFonts w:ascii="Times New Roman" w:eastAsia="Calibri" w:hAnsi="Times New Roman" w:cs="Times New Roman"/>
          <w:i/>
          <w:sz w:val="24"/>
          <w:szCs w:val="24"/>
        </w:rPr>
        <w:t>S. Gurgulem</w:t>
      </w:r>
      <w:r w:rsidRPr="00A6583F">
        <w:rPr>
          <w:rFonts w:ascii="Times New Roman" w:eastAsia="Calibri" w:hAnsi="Times New Roman" w:cs="Times New Roman"/>
          <w:sz w:val="24"/>
          <w:szCs w:val="24"/>
        </w:rPr>
        <w:t xml:space="preserve"> wyróżnić można </w:t>
      </w:r>
      <w:r w:rsidRPr="00E47310">
        <w:rPr>
          <w:rFonts w:ascii="Times New Roman" w:eastAsia="Calibri" w:hAnsi="Times New Roman" w:cs="Times New Roman"/>
          <w:b/>
          <w:sz w:val="24"/>
          <w:szCs w:val="24"/>
        </w:rPr>
        <w:t>trzy</w:t>
      </w:r>
      <w:r w:rsidRPr="00A6583F">
        <w:rPr>
          <w:rFonts w:ascii="Times New Roman" w:eastAsia="Calibri" w:hAnsi="Times New Roman" w:cs="Times New Roman"/>
          <w:sz w:val="24"/>
          <w:szCs w:val="24"/>
        </w:rPr>
        <w:t xml:space="preserve"> takie </w:t>
      </w:r>
      <w:r w:rsidR="00447974" w:rsidRPr="00E47310">
        <w:rPr>
          <w:rFonts w:ascii="Times New Roman" w:eastAsia="Calibri" w:hAnsi="Times New Roman" w:cs="Times New Roman"/>
          <w:b/>
          <w:sz w:val="24"/>
          <w:szCs w:val="24"/>
        </w:rPr>
        <w:t xml:space="preserve">rozłączne </w:t>
      </w:r>
      <w:r w:rsidRPr="00E47310">
        <w:rPr>
          <w:rFonts w:ascii="Times New Roman" w:eastAsia="Calibri" w:hAnsi="Times New Roman" w:cs="Times New Roman"/>
          <w:b/>
          <w:sz w:val="24"/>
          <w:szCs w:val="24"/>
        </w:rPr>
        <w:t>przypadki</w:t>
      </w:r>
      <w:r w:rsidRPr="00A6583F">
        <w:rPr>
          <w:rFonts w:ascii="Times New Roman" w:eastAsia="Calibri" w:hAnsi="Times New Roman" w:cs="Times New Roman"/>
          <w:sz w:val="24"/>
          <w:szCs w:val="24"/>
        </w:rPr>
        <w:t xml:space="preserve">: </w:t>
      </w:r>
    </w:p>
    <w:p w:rsidR="00A6583F" w:rsidRPr="00A6583F" w:rsidRDefault="00DD0416" w:rsidP="00A6583F">
      <w:pPr>
        <w:numPr>
          <w:ilvl w:val="0"/>
          <w:numId w:val="1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A6583F" w:rsidRPr="00A6583F">
        <w:rPr>
          <w:rFonts w:ascii="Times New Roman" w:eastAsia="Calibri" w:hAnsi="Times New Roman" w:cs="Times New Roman"/>
          <w:sz w:val="24"/>
          <w:szCs w:val="24"/>
        </w:rPr>
        <w:t>padły w związku z ustanowieniem zabezpieczenia nie otrzymał żadnego świadczenia,</w:t>
      </w:r>
    </w:p>
    <w:p w:rsidR="00A6583F" w:rsidRPr="00A6583F" w:rsidRDefault="00DD0416" w:rsidP="00A6583F">
      <w:pPr>
        <w:numPr>
          <w:ilvl w:val="0"/>
          <w:numId w:val="1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A6583F" w:rsidRPr="00A6583F">
        <w:rPr>
          <w:rFonts w:ascii="Times New Roman" w:eastAsia="Calibri" w:hAnsi="Times New Roman" w:cs="Times New Roman"/>
          <w:sz w:val="24"/>
          <w:szCs w:val="24"/>
        </w:rPr>
        <w:t>trzymane przez upadłego świadczenie jest niewspółmiernie niskie do wartości udzielonego zabezpieczenia,</w:t>
      </w:r>
    </w:p>
    <w:p w:rsidR="00A6583F" w:rsidRPr="00A6583F" w:rsidRDefault="00DD0416" w:rsidP="00A6583F">
      <w:pPr>
        <w:numPr>
          <w:ilvl w:val="0"/>
          <w:numId w:val="1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A6583F" w:rsidRPr="00A6583F">
        <w:rPr>
          <w:rFonts w:ascii="Times New Roman" w:eastAsia="Calibri" w:hAnsi="Times New Roman" w:cs="Times New Roman"/>
          <w:sz w:val="24"/>
          <w:szCs w:val="24"/>
        </w:rPr>
        <w:t>łużnikami osobistymi wierzyciela (na którego rzecz ustanowione zostało zabezpieczenie) są osoby wymienione w art. 128 PU</w:t>
      </w:r>
      <w:r w:rsidR="00447974">
        <w:rPr>
          <w:rFonts w:ascii="Times New Roman" w:eastAsia="Calibri" w:hAnsi="Times New Roman" w:cs="Times New Roman"/>
          <w:sz w:val="24"/>
          <w:szCs w:val="24"/>
        </w:rPr>
        <w:t>, chyba, że druga strona wykaże, że nie doszło do pokrzywdzenia wierzycieli</w:t>
      </w:r>
      <w:r w:rsidR="00A6583F" w:rsidRPr="00A6583F">
        <w:rPr>
          <w:rFonts w:ascii="Times New Roman" w:eastAsia="Calibri" w:hAnsi="Times New Roman" w:cs="Times New Roman"/>
          <w:sz w:val="24"/>
          <w:szCs w:val="24"/>
        </w:rPr>
        <w:t xml:space="preserve">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Z kolei </w:t>
      </w:r>
      <w:r w:rsidRPr="00A6583F">
        <w:rPr>
          <w:rFonts w:ascii="Times New Roman" w:eastAsia="Calibri" w:hAnsi="Times New Roman" w:cs="Times New Roman"/>
          <w:i/>
          <w:sz w:val="24"/>
          <w:szCs w:val="24"/>
        </w:rPr>
        <w:t xml:space="preserve">D. </w:t>
      </w:r>
      <w:proofErr w:type="spellStart"/>
      <w:r w:rsidRPr="00A6583F">
        <w:rPr>
          <w:rFonts w:ascii="Times New Roman" w:eastAsia="Calibri" w:hAnsi="Times New Roman" w:cs="Times New Roman"/>
          <w:i/>
          <w:sz w:val="24"/>
          <w:szCs w:val="24"/>
        </w:rPr>
        <w:t>Chrapoński</w:t>
      </w:r>
      <w:proofErr w:type="spellEnd"/>
      <w:r w:rsidRPr="00A6583F">
        <w:rPr>
          <w:rFonts w:ascii="Times New Roman" w:eastAsia="Calibri" w:hAnsi="Times New Roman" w:cs="Times New Roman"/>
          <w:sz w:val="24"/>
          <w:szCs w:val="24"/>
        </w:rPr>
        <w:t xml:space="preserve">, łącząc sytuacje wskazane w powyższych punktach </w:t>
      </w:r>
      <w:r w:rsidR="00E47310">
        <w:rPr>
          <w:rFonts w:ascii="Times New Roman" w:eastAsia="Calibri" w:hAnsi="Times New Roman" w:cs="Times New Roman"/>
          <w:sz w:val="24"/>
          <w:szCs w:val="24"/>
        </w:rPr>
        <w:t>1 i 2, wskazuje, że art. 130 PU</w:t>
      </w:r>
      <w:r w:rsidRPr="00A6583F">
        <w:rPr>
          <w:rFonts w:ascii="Times New Roman" w:eastAsia="Calibri" w:hAnsi="Times New Roman" w:cs="Times New Roman"/>
          <w:sz w:val="24"/>
          <w:szCs w:val="24"/>
        </w:rPr>
        <w:t xml:space="preserve"> dotyczy zabezpieczenia:</w:t>
      </w:r>
    </w:p>
    <w:p w:rsidR="00A6583F" w:rsidRDefault="00DD0416" w:rsidP="00A6583F">
      <w:pPr>
        <w:numPr>
          <w:ilvl w:val="0"/>
          <w:numId w:val="12"/>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A6583F" w:rsidRPr="00A6583F">
        <w:rPr>
          <w:rFonts w:ascii="Times New Roman" w:eastAsia="Calibri" w:hAnsi="Times New Roman" w:cs="Times New Roman"/>
          <w:sz w:val="24"/>
          <w:szCs w:val="24"/>
        </w:rPr>
        <w:t>ieodpłatnego oraz ustanowionego za świadczenie niewspółmiernie niskie w stosunku do wartości zabezpieczenia,</w:t>
      </w:r>
    </w:p>
    <w:p w:rsidR="00447974" w:rsidRPr="00A6583F" w:rsidRDefault="00447974" w:rsidP="00447974">
      <w:p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lub</w:t>
      </w:r>
    </w:p>
    <w:p w:rsidR="00A6583F" w:rsidRPr="00A6583F" w:rsidRDefault="00DD0416" w:rsidP="00A6583F">
      <w:pPr>
        <w:numPr>
          <w:ilvl w:val="0"/>
          <w:numId w:val="12"/>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A6583F" w:rsidRPr="00A6583F">
        <w:rPr>
          <w:rFonts w:ascii="Times New Roman" w:eastAsia="Calibri" w:hAnsi="Times New Roman" w:cs="Times New Roman"/>
          <w:sz w:val="24"/>
          <w:szCs w:val="24"/>
        </w:rPr>
        <w:t xml:space="preserve">dzielonego na zabezpieczenie osób bliskich upadłego.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Różnica powyższa ma zresztą charakter jedynie techniczny, obydwa wyliczenia obejmują bowi</w:t>
      </w:r>
      <w:r w:rsidR="00447974">
        <w:rPr>
          <w:rFonts w:ascii="Times New Roman" w:eastAsia="Calibri" w:hAnsi="Times New Roman" w:cs="Times New Roman"/>
          <w:sz w:val="24"/>
          <w:szCs w:val="24"/>
        </w:rPr>
        <w:t>em całość regulacji art. 130 PU</w:t>
      </w:r>
      <w:r w:rsidRPr="00A6583F">
        <w:rPr>
          <w:rFonts w:ascii="Times New Roman" w:eastAsia="Calibri" w:hAnsi="Times New Roman" w:cs="Times New Roman"/>
          <w:sz w:val="24"/>
          <w:szCs w:val="24"/>
        </w:rPr>
        <w:t xml:space="preserve">. Na potrzeby dalszej analizy jego treści, wskazane jest jednak zdaniem autora omówienie w odrębnych punktach sytuacji, gdy upadły w związku z ustanowieniem zabezpieczenia nie otrzymał żadnego świadczenia i sytuacji, gdy </w:t>
      </w:r>
      <w:r w:rsidRPr="00A6583F">
        <w:rPr>
          <w:rFonts w:ascii="Times New Roman" w:eastAsia="Calibri" w:hAnsi="Times New Roman" w:cs="Times New Roman"/>
          <w:sz w:val="24"/>
          <w:szCs w:val="24"/>
        </w:rPr>
        <w:lastRenderedPageBreak/>
        <w:t>świadczenie takie wprawdzie otrzymał, ale jest ono niewspółmiernie niskie w stosunku do wartości udzielonego przez niego zabezpieczenia.</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Ustalają</w:t>
      </w:r>
      <w:r w:rsidR="00447974">
        <w:rPr>
          <w:rFonts w:ascii="Times New Roman" w:eastAsia="Calibri" w:hAnsi="Times New Roman" w:cs="Times New Roman"/>
          <w:sz w:val="24"/>
          <w:szCs w:val="24"/>
        </w:rPr>
        <w:t>c zakres stosowania art. 130 PU</w:t>
      </w:r>
      <w:r w:rsidRPr="00A6583F">
        <w:rPr>
          <w:rFonts w:ascii="Times New Roman" w:eastAsia="Calibri" w:hAnsi="Times New Roman" w:cs="Times New Roman"/>
          <w:sz w:val="24"/>
          <w:szCs w:val="24"/>
        </w:rPr>
        <w:t xml:space="preserve">, należy w pierwszym rzędzie zwrócić uwagę, że zawarte w nim wyliczenie zabezpieczeń wierzytelności, które mogą być przez sędziego-komisarza uznane za bezskuteczne, ma charakter enumeratywny. Jego zakresu nie można zatem rozszerzyć na inne przypadki zabezpieczania wierzytelności, w szczególności na zabezpieczenia osobowe i zabezpieczenia rzeczowe nie będące ograniczonymi prawami rzeczowymi, w szczególności na przewłaszczenie na zabezpieczenie.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Podkreślić należy</w:t>
      </w:r>
      <w:r w:rsidR="00447974">
        <w:rPr>
          <w:rFonts w:ascii="Times New Roman" w:eastAsia="Calibri" w:hAnsi="Times New Roman" w:cs="Times New Roman"/>
          <w:sz w:val="24"/>
          <w:szCs w:val="24"/>
        </w:rPr>
        <w:t xml:space="preserve"> także, że przepisy art. 130 PU</w:t>
      </w:r>
      <w:r w:rsidRPr="00A6583F">
        <w:rPr>
          <w:rFonts w:ascii="Times New Roman" w:eastAsia="Calibri" w:hAnsi="Times New Roman" w:cs="Times New Roman"/>
          <w:sz w:val="24"/>
          <w:szCs w:val="24"/>
        </w:rPr>
        <w:t xml:space="preserve"> nie mogą być stosowane do hipoteki przymusowej, gdyż, jak słusznie zauważa S. Gurgul, prawo to nie jest „ustanawiane” przez upadłego. W przypadku hipoteki przymusowej może ona zresztą obciążać tylko majątek dłużnika osobistego wierzyciela, na rzecz którego wierzytelność jest nią zabezpieczana. Pogląd ten, </w:t>
      </w:r>
      <w:r w:rsidR="00447974">
        <w:rPr>
          <w:rFonts w:ascii="Times New Roman" w:eastAsia="Calibri" w:hAnsi="Times New Roman" w:cs="Times New Roman"/>
          <w:sz w:val="24"/>
          <w:szCs w:val="24"/>
        </w:rPr>
        <w:t>moim zdaniem</w:t>
      </w:r>
      <w:r w:rsidRPr="00A6583F">
        <w:rPr>
          <w:rFonts w:ascii="Times New Roman" w:eastAsia="Calibri" w:hAnsi="Times New Roman" w:cs="Times New Roman"/>
          <w:sz w:val="24"/>
          <w:szCs w:val="24"/>
        </w:rPr>
        <w:t>, z tych samych powodów jest aktualny także, gdy wierzytelność na mieniu upadłego zabezpieczona jest zastawem ustawowym (a także zastawem skarbowym) – również w tym przypadku zabezpieczenie nie jest bowiem „ustanawiane” przez upadłego, lecz powstaje bez - a z reguły wbrew - jego woli. Możliwość uznania hipoteki bądź zastawu obciążających majątek upadłego za bezsk</w:t>
      </w:r>
      <w:r w:rsidR="00447974">
        <w:rPr>
          <w:rFonts w:ascii="Times New Roman" w:eastAsia="Calibri" w:hAnsi="Times New Roman" w:cs="Times New Roman"/>
          <w:sz w:val="24"/>
          <w:szCs w:val="24"/>
        </w:rPr>
        <w:t>uteczne w oparciu o art. 130 PU</w:t>
      </w:r>
      <w:r w:rsidRPr="00A6583F">
        <w:rPr>
          <w:rFonts w:ascii="Times New Roman" w:eastAsia="Calibri" w:hAnsi="Times New Roman" w:cs="Times New Roman"/>
          <w:sz w:val="24"/>
          <w:szCs w:val="24"/>
        </w:rPr>
        <w:t xml:space="preserve"> istnieje zatem tylko wówczas, gdy podstawą do ich ustanowienia była umowa pomiędzy upadłym, a osobą, na której rzecz zabezpieczanie takie zostało ustanowione.</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Badają</w:t>
      </w:r>
      <w:r w:rsidR="00447974">
        <w:rPr>
          <w:rFonts w:ascii="Times New Roman" w:eastAsia="Calibri" w:hAnsi="Times New Roman" w:cs="Times New Roman"/>
          <w:sz w:val="24"/>
          <w:szCs w:val="24"/>
        </w:rPr>
        <w:t>c zakres stosowania art. 130 PU</w:t>
      </w:r>
      <w:r w:rsidRPr="00A6583F">
        <w:rPr>
          <w:rFonts w:ascii="Times New Roman" w:eastAsia="Calibri" w:hAnsi="Times New Roman" w:cs="Times New Roman"/>
          <w:sz w:val="24"/>
          <w:szCs w:val="24"/>
        </w:rPr>
        <w:t>, szczególną uwagę należy zwrócić na jego stosunek do regulacji wyże</w:t>
      </w:r>
      <w:r w:rsidR="00447974">
        <w:rPr>
          <w:rFonts w:ascii="Times New Roman" w:eastAsia="Calibri" w:hAnsi="Times New Roman" w:cs="Times New Roman"/>
          <w:sz w:val="24"/>
          <w:szCs w:val="24"/>
        </w:rPr>
        <w:t>j omówionego art. 127 ust. 3 PU</w:t>
      </w:r>
      <w:r w:rsidRPr="00A6583F">
        <w:rPr>
          <w:rFonts w:ascii="Times New Roman" w:eastAsia="Calibri" w:hAnsi="Times New Roman" w:cs="Times New Roman"/>
          <w:sz w:val="24"/>
          <w:szCs w:val="24"/>
        </w:rPr>
        <w:t xml:space="preserve">, przewidującego bezskuteczność ustanowionych przez upadłego zabezpieczeń </w:t>
      </w:r>
      <w:r w:rsidRPr="00A6583F">
        <w:rPr>
          <w:rFonts w:ascii="Times New Roman" w:eastAsia="Calibri" w:hAnsi="Times New Roman" w:cs="Times New Roman"/>
          <w:i/>
          <w:sz w:val="24"/>
          <w:szCs w:val="24"/>
        </w:rPr>
        <w:t xml:space="preserve">ex </w:t>
      </w:r>
      <w:proofErr w:type="spellStart"/>
      <w:r w:rsidRPr="00A6583F">
        <w:rPr>
          <w:rFonts w:ascii="Times New Roman" w:eastAsia="Calibri" w:hAnsi="Times New Roman" w:cs="Times New Roman"/>
          <w:i/>
          <w:sz w:val="24"/>
          <w:szCs w:val="24"/>
        </w:rPr>
        <w:t>lege</w:t>
      </w:r>
      <w:proofErr w:type="spellEnd"/>
      <w:r w:rsidRPr="00A6583F">
        <w:rPr>
          <w:rFonts w:ascii="Times New Roman" w:eastAsia="Calibri" w:hAnsi="Times New Roman" w:cs="Times New Roman"/>
          <w:sz w:val="24"/>
          <w:szCs w:val="24"/>
        </w:rPr>
        <w:t>, a nie w wyniku uznania ich za bezskuteczne przez sędziego-komisarza. W pierwszej kolejności należy podkreślić, że, w przeci</w:t>
      </w:r>
      <w:r w:rsidR="00447974">
        <w:rPr>
          <w:rFonts w:ascii="Times New Roman" w:eastAsia="Calibri" w:hAnsi="Times New Roman" w:cs="Times New Roman"/>
          <w:sz w:val="24"/>
          <w:szCs w:val="24"/>
        </w:rPr>
        <w:t>wieństwie do art. 127 ust. 3 PU</w:t>
      </w:r>
      <w:r w:rsidRPr="00A6583F">
        <w:rPr>
          <w:rFonts w:ascii="Times New Roman" w:eastAsia="Calibri" w:hAnsi="Times New Roman" w:cs="Times New Roman"/>
          <w:sz w:val="24"/>
          <w:szCs w:val="24"/>
        </w:rPr>
        <w:t>, dotyczącego sytuacji, gdy upadły ustanawia zabezpieczenie swojego osobistego długu niewymagalnego</w:t>
      </w:r>
      <w:r w:rsidR="00447974">
        <w:rPr>
          <w:rFonts w:ascii="Times New Roman" w:eastAsia="Calibri" w:hAnsi="Times New Roman" w:cs="Times New Roman"/>
          <w:sz w:val="24"/>
          <w:szCs w:val="24"/>
        </w:rPr>
        <w:t>, art. 130 PU</w:t>
      </w:r>
      <w:r w:rsidRPr="00A6583F">
        <w:rPr>
          <w:rFonts w:ascii="Times New Roman" w:eastAsia="Calibri" w:hAnsi="Times New Roman" w:cs="Times New Roman"/>
          <w:sz w:val="24"/>
          <w:szCs w:val="24"/>
        </w:rPr>
        <w:t xml:space="preserve"> obejmuje swoim zakresem tylko przypadki, gdy upadły zabezpiecza długi osoby trzeciej. Zakres ten wyzn</w:t>
      </w:r>
      <w:r w:rsidR="00447974">
        <w:rPr>
          <w:rFonts w:ascii="Times New Roman" w:eastAsia="Calibri" w:hAnsi="Times New Roman" w:cs="Times New Roman"/>
          <w:sz w:val="24"/>
          <w:szCs w:val="24"/>
        </w:rPr>
        <w:t>acza użyte w art. 130 ust. 1 PU</w:t>
      </w:r>
      <w:r w:rsidRPr="00A6583F">
        <w:rPr>
          <w:rFonts w:ascii="Times New Roman" w:eastAsia="Calibri" w:hAnsi="Times New Roman" w:cs="Times New Roman"/>
          <w:sz w:val="24"/>
          <w:szCs w:val="24"/>
        </w:rPr>
        <w:t xml:space="preserve"> stwierdzenie - „upadły nie był dłużnikiem osobistym zabezpieczonego wierzyciela”. Hipoteka lub zastaw ustanowione zostają zatem przez upadłego na swoim majątku, ale na zabezpieczenie cudzego długu, za który osobiście upadły nie odpowiada. Nie ma przy tym znaczenia, czy zabezpieczenie to zostało ustanowione równocześnie z powstaniem owego długu, czy też w terminie późniejszym. Nie ma również znaczenia, czy dług ten był już wymagalny.</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Pr="00A6583F">
        <w:rPr>
          <w:rFonts w:ascii="Times New Roman" w:eastAsia="Calibri" w:hAnsi="Times New Roman" w:cs="Times New Roman"/>
          <w:i/>
          <w:sz w:val="24"/>
          <w:szCs w:val="24"/>
        </w:rPr>
        <w:t xml:space="preserve">A </w:t>
      </w:r>
      <w:proofErr w:type="spellStart"/>
      <w:r w:rsidRPr="00A6583F">
        <w:rPr>
          <w:rFonts w:ascii="Times New Roman" w:eastAsia="Calibri" w:hAnsi="Times New Roman" w:cs="Times New Roman"/>
          <w:i/>
          <w:sz w:val="24"/>
          <w:szCs w:val="24"/>
        </w:rPr>
        <w:t>contrario</w:t>
      </w:r>
      <w:proofErr w:type="spellEnd"/>
      <w:r w:rsidR="00D51A5D">
        <w:rPr>
          <w:rFonts w:ascii="Times New Roman" w:eastAsia="Calibri" w:hAnsi="Times New Roman" w:cs="Times New Roman"/>
          <w:sz w:val="24"/>
          <w:szCs w:val="24"/>
        </w:rPr>
        <w:t xml:space="preserve"> z art. 130 ust. 1 PU</w:t>
      </w:r>
      <w:r w:rsidRPr="00A6583F">
        <w:rPr>
          <w:rFonts w:ascii="Times New Roman" w:eastAsia="Calibri" w:hAnsi="Times New Roman" w:cs="Times New Roman"/>
          <w:sz w:val="24"/>
          <w:szCs w:val="24"/>
        </w:rPr>
        <w:t xml:space="preserve"> wynika zatem, że gdy upadły jest dłużnikiem osobistym wierzyciela, na rzecz którego ustanowiona została hipoteka lub zastaw, to </w:t>
      </w:r>
      <w:r w:rsidRPr="00A6583F">
        <w:rPr>
          <w:rFonts w:ascii="Times New Roman" w:eastAsia="Calibri" w:hAnsi="Times New Roman" w:cs="Times New Roman"/>
          <w:sz w:val="24"/>
          <w:szCs w:val="24"/>
        </w:rPr>
        <w:lastRenderedPageBreak/>
        <w:t>zabezpieczenie to nie może być uznane przez sędziego-komisarza za bezsku</w:t>
      </w:r>
      <w:r w:rsidR="00D51A5D">
        <w:rPr>
          <w:rFonts w:ascii="Times New Roman" w:eastAsia="Calibri" w:hAnsi="Times New Roman" w:cs="Times New Roman"/>
          <w:sz w:val="24"/>
          <w:szCs w:val="24"/>
        </w:rPr>
        <w:t>teczne na podstawie art. 130 PU</w:t>
      </w:r>
      <w:r w:rsidRPr="00A6583F">
        <w:rPr>
          <w:rFonts w:ascii="Times New Roman" w:eastAsia="Calibri" w:hAnsi="Times New Roman" w:cs="Times New Roman"/>
          <w:sz w:val="24"/>
          <w:szCs w:val="24"/>
        </w:rPr>
        <w:t xml:space="preserve">. Nie jest natomiast przy tym wykluczone, że zabezpieczenie takie będzie wobec masy upadłości bezskuteczne </w:t>
      </w:r>
      <w:r w:rsidRPr="00A6583F">
        <w:rPr>
          <w:rFonts w:ascii="Times New Roman" w:eastAsia="Calibri" w:hAnsi="Times New Roman" w:cs="Times New Roman"/>
          <w:i/>
          <w:sz w:val="24"/>
          <w:szCs w:val="24"/>
        </w:rPr>
        <w:t xml:space="preserve">ex </w:t>
      </w:r>
      <w:proofErr w:type="spellStart"/>
      <w:r w:rsidRPr="00A6583F">
        <w:rPr>
          <w:rFonts w:ascii="Times New Roman" w:eastAsia="Calibri" w:hAnsi="Times New Roman" w:cs="Times New Roman"/>
          <w:i/>
          <w:sz w:val="24"/>
          <w:szCs w:val="24"/>
        </w:rPr>
        <w:t>lege</w:t>
      </w:r>
      <w:proofErr w:type="spellEnd"/>
      <w:r w:rsidRPr="00A6583F">
        <w:rPr>
          <w:rFonts w:ascii="Times New Roman" w:eastAsia="Calibri" w:hAnsi="Times New Roman" w:cs="Times New Roman"/>
          <w:sz w:val="24"/>
          <w:szCs w:val="24"/>
        </w:rPr>
        <w:t xml:space="preserve">, jeżeli zachodzą </w:t>
      </w:r>
      <w:r w:rsidR="00D51A5D">
        <w:rPr>
          <w:rFonts w:ascii="Times New Roman" w:eastAsia="Calibri" w:hAnsi="Times New Roman" w:cs="Times New Roman"/>
          <w:sz w:val="24"/>
          <w:szCs w:val="24"/>
        </w:rPr>
        <w:t>przesłanki z art. 127 ust. 3 PU</w:t>
      </w:r>
      <w:r w:rsidRPr="00A6583F">
        <w:rPr>
          <w:rFonts w:ascii="Times New Roman" w:eastAsia="Calibri" w:hAnsi="Times New Roman" w:cs="Times New Roman"/>
          <w:sz w:val="24"/>
          <w:szCs w:val="24"/>
        </w:rPr>
        <w:t>.</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Rozpatrując bli</w:t>
      </w:r>
      <w:r w:rsidR="00D51A5D">
        <w:rPr>
          <w:rFonts w:ascii="Times New Roman" w:eastAsia="Calibri" w:hAnsi="Times New Roman" w:cs="Times New Roman"/>
          <w:sz w:val="24"/>
          <w:szCs w:val="24"/>
        </w:rPr>
        <w:t>żej kwestię relacji art. 130 PU i art. 127 ust. 3 PU</w:t>
      </w:r>
      <w:r w:rsidRPr="00A6583F">
        <w:rPr>
          <w:rFonts w:ascii="Times New Roman" w:eastAsia="Calibri" w:hAnsi="Times New Roman" w:cs="Times New Roman"/>
          <w:sz w:val="24"/>
          <w:szCs w:val="24"/>
        </w:rPr>
        <w:t>,  uwzględnić należy koniecznie specyfikę praw zastawniczych, które, co do zasady obciążają daną rzecz bez względu na to, czyją stała się własnością. Ponadto, tak w przypadku hipoteki, jak i w przypadku zastawu kodeksowego, dotyczące ich regulacje nie zezwalają na wprowadzanie do ustanawiających dane prawo zastawnicze umów postanowień zakazujących obrotu obciążonymi nimi rzeczami. Prawna pozycja upadłego względem wierzyciela – jako dłużnika osobistego lub tylko rzeczowego, może zatem w okresie pomiędzy ustanowieniem danego zabezpieczenia a złożeniem wniosku o ogłoszenie upadłości dłużnika ulegać zmianie. Uwzględnić należy w szczególności następujące, mające znaczenie dla rozpatrywanej kwestii, sytuacje:</w:t>
      </w:r>
    </w:p>
    <w:p w:rsidR="00A6583F" w:rsidRPr="00A6583F" w:rsidRDefault="00A6583F" w:rsidP="00A6583F">
      <w:pPr>
        <w:numPr>
          <w:ilvl w:val="0"/>
          <w:numId w:val="15"/>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Upadły nie jest dłużnikiem osobistym swojego wierzyciela rzeczowego, zarówno w momencie ustanowienia obciążającego jego majątek prawa zastawniczego, jak i w chwili złożenia wniosku o ogłoszenie jego upadłości;</w:t>
      </w:r>
    </w:p>
    <w:p w:rsidR="00A6583F" w:rsidRPr="00A6583F" w:rsidRDefault="00A6583F" w:rsidP="00A6583F">
      <w:pPr>
        <w:numPr>
          <w:ilvl w:val="0"/>
          <w:numId w:val="15"/>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W momencie ustanowienia zabezpieczenia upadły nie jest dłużnikiem osobistym wierzyciela, ale jest nim już w momencie złożenia wniosku o ogłoszenie jego upadłości. Do sytuacji takiej może dojść zarówno na skutek przystąpienia przez upadłego do długu</w:t>
      </w:r>
      <w:r w:rsidR="003434C0">
        <w:rPr>
          <w:rFonts w:ascii="Times New Roman" w:eastAsia="Calibri" w:hAnsi="Times New Roman" w:cs="Times New Roman"/>
          <w:sz w:val="24"/>
          <w:szCs w:val="24"/>
        </w:rPr>
        <w:t xml:space="preserve"> </w:t>
      </w:r>
      <w:r w:rsidRPr="00A6583F">
        <w:rPr>
          <w:rFonts w:ascii="Times New Roman" w:eastAsia="Calibri" w:hAnsi="Times New Roman" w:cs="Times New Roman"/>
          <w:sz w:val="24"/>
          <w:szCs w:val="24"/>
        </w:rPr>
        <w:t>osoby, będącej dłużnikiem osobistym wierzyciela rzeczowego upadłego, jak i wskutek przejęcia przez upadłego długu takiej osoby;</w:t>
      </w:r>
    </w:p>
    <w:p w:rsidR="00A6583F" w:rsidRPr="00A6583F" w:rsidRDefault="00A6583F" w:rsidP="00A6583F">
      <w:pPr>
        <w:numPr>
          <w:ilvl w:val="0"/>
          <w:numId w:val="15"/>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Upadły w momencie ustanowienia zabezpieczenia jest dłużnikiem osobistym wierzyciela, ale przestaje nim być przed dniem złożenia wniosku o ogłoszenie jego upadłości (na przykład wskutek przejęcia jego długu przez inną osobę), pozostając jednak jego dłużnikiem rzeczowym;</w:t>
      </w:r>
    </w:p>
    <w:p w:rsidR="00A6583F" w:rsidRPr="00A6583F" w:rsidRDefault="00A6583F" w:rsidP="00A6583F">
      <w:pPr>
        <w:numPr>
          <w:ilvl w:val="0"/>
          <w:numId w:val="15"/>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Upadły zarówno w momencie ustanowienia zabezpieczenia, jak i w momencie złożenia wniosku o ogłoszenie jego upadłości jest dłużnikiem osobistym wierzyciela, na rzecz którego ustanawia obciążające jego majątek prawo zastawnicze.</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Nie ulega wątpliwości, że sytuacja opisana w punkcie 1 mieści się w zakresie regulowanym przez art. 130 PU. Przepis ten nie obejmuje natomiast przypadku wskazanego w punkcie 4, podlegającego ewentualnie regulacjo</w:t>
      </w:r>
      <w:r w:rsidR="00D51A5D">
        <w:rPr>
          <w:rFonts w:ascii="Times New Roman" w:eastAsia="Calibri" w:hAnsi="Times New Roman" w:cs="Times New Roman"/>
          <w:sz w:val="24"/>
          <w:szCs w:val="24"/>
        </w:rPr>
        <w:t>m zawartym w art. 127 ust. 3 PU</w:t>
      </w:r>
      <w:r w:rsidRPr="00A6583F">
        <w:rPr>
          <w:rFonts w:ascii="Times New Roman" w:eastAsia="Calibri" w:hAnsi="Times New Roman" w:cs="Times New Roman"/>
          <w:sz w:val="24"/>
          <w:szCs w:val="24"/>
        </w:rPr>
        <w:t>. Rozpatrując sytuacje wskazane w punktach 2 i  3 zwrócić należy uwagę na użycie przez ustawodawcę w treści a</w:t>
      </w:r>
      <w:r w:rsidR="00D51A5D">
        <w:rPr>
          <w:rFonts w:ascii="Times New Roman" w:eastAsia="Calibri" w:hAnsi="Times New Roman" w:cs="Times New Roman"/>
          <w:sz w:val="24"/>
          <w:szCs w:val="24"/>
        </w:rPr>
        <w:t>rt. 130 ust. 1 PU</w:t>
      </w:r>
      <w:r w:rsidRPr="00A6583F">
        <w:rPr>
          <w:rFonts w:ascii="Times New Roman" w:eastAsia="Calibri" w:hAnsi="Times New Roman" w:cs="Times New Roman"/>
          <w:sz w:val="24"/>
          <w:szCs w:val="24"/>
        </w:rPr>
        <w:t xml:space="preserve"> czasu przeszłego – „upadły nie był dłużnikiem </w:t>
      </w:r>
      <w:r w:rsidRPr="00A6583F">
        <w:rPr>
          <w:rFonts w:ascii="Times New Roman" w:eastAsia="Calibri" w:hAnsi="Times New Roman" w:cs="Times New Roman"/>
          <w:sz w:val="24"/>
          <w:szCs w:val="24"/>
        </w:rPr>
        <w:lastRenderedPageBreak/>
        <w:t xml:space="preserve">osobistym”. Wskazuje to, </w:t>
      </w:r>
      <w:r w:rsidR="00D51A5D">
        <w:rPr>
          <w:rFonts w:ascii="Times New Roman" w:eastAsia="Calibri" w:hAnsi="Times New Roman" w:cs="Times New Roman"/>
          <w:sz w:val="24"/>
          <w:szCs w:val="24"/>
        </w:rPr>
        <w:t>moim zdaniem</w:t>
      </w:r>
      <w:r w:rsidRPr="00A6583F">
        <w:rPr>
          <w:rFonts w:ascii="Times New Roman" w:eastAsia="Calibri" w:hAnsi="Times New Roman" w:cs="Times New Roman"/>
          <w:sz w:val="24"/>
          <w:szCs w:val="24"/>
        </w:rPr>
        <w:t xml:space="preserve">, jednoznacznie, iż rozpatrując prawną relację upadłego do wierzyciela, na którego rzecz ustanowione zostaje zabezpieczenie, uwzględnić należy stan istniejący w momencie ustanawiania przez upadłego tego zabezpieczenia. Nie ma natomiast znaczenia stan istniejący w momencie złożenia wniosku o ogłoszenie upadłości dłużnika (ani tym bardziej w momencie ogłoszenia </w:t>
      </w:r>
      <w:r w:rsidR="00D51A5D">
        <w:rPr>
          <w:rFonts w:ascii="Times New Roman" w:eastAsia="Calibri" w:hAnsi="Times New Roman" w:cs="Times New Roman"/>
          <w:sz w:val="24"/>
          <w:szCs w:val="24"/>
        </w:rPr>
        <w:t>jego upadłości). Artykuł 130 PU</w:t>
      </w:r>
      <w:r w:rsidRPr="00A6583F">
        <w:rPr>
          <w:rFonts w:ascii="Times New Roman" w:eastAsia="Calibri" w:hAnsi="Times New Roman" w:cs="Times New Roman"/>
          <w:sz w:val="24"/>
          <w:szCs w:val="24"/>
        </w:rPr>
        <w:t xml:space="preserve"> obejmuje zatem swoim zakresem sytuację opisaną w punkcie 2, natomiast nie jest nim objęty przypadek wskazany w punkcie 3 – kwestia ewentualnej bezskuteczności tak ustanowionego zabezpieczenia będzie ustalana w oparci</w:t>
      </w:r>
      <w:r w:rsidR="00D51A5D">
        <w:rPr>
          <w:rFonts w:ascii="Times New Roman" w:eastAsia="Calibri" w:hAnsi="Times New Roman" w:cs="Times New Roman"/>
          <w:sz w:val="24"/>
          <w:szCs w:val="24"/>
        </w:rPr>
        <w:t>u o przepisy art. 127 ust. 3 PU</w:t>
      </w:r>
      <w:r w:rsidRPr="00A6583F">
        <w:rPr>
          <w:rFonts w:ascii="Times New Roman" w:eastAsia="Calibri" w:hAnsi="Times New Roman" w:cs="Times New Roman"/>
          <w:sz w:val="24"/>
          <w:szCs w:val="24"/>
        </w:rPr>
        <w:t>.</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D51A5D">
        <w:rPr>
          <w:rFonts w:ascii="Times New Roman" w:eastAsia="Calibri" w:hAnsi="Times New Roman" w:cs="Times New Roman"/>
          <w:sz w:val="24"/>
          <w:szCs w:val="24"/>
        </w:rPr>
        <w:t>Przepis</w:t>
      </w:r>
      <w:r w:rsidRPr="00A6583F">
        <w:rPr>
          <w:rFonts w:ascii="Times New Roman" w:eastAsia="Calibri" w:hAnsi="Times New Roman" w:cs="Times New Roman"/>
          <w:sz w:val="24"/>
          <w:szCs w:val="24"/>
        </w:rPr>
        <w:t xml:space="preserve"> art. 130 PUN nie obejmuje </w:t>
      </w:r>
      <w:r w:rsidR="00D51A5D">
        <w:rPr>
          <w:rFonts w:ascii="Times New Roman" w:eastAsia="Calibri" w:hAnsi="Times New Roman" w:cs="Times New Roman"/>
          <w:sz w:val="24"/>
          <w:szCs w:val="24"/>
        </w:rPr>
        <w:t xml:space="preserve">również </w:t>
      </w:r>
      <w:r w:rsidRPr="00A6583F">
        <w:rPr>
          <w:rFonts w:ascii="Times New Roman" w:eastAsia="Calibri" w:hAnsi="Times New Roman" w:cs="Times New Roman"/>
          <w:sz w:val="24"/>
          <w:szCs w:val="24"/>
        </w:rPr>
        <w:t xml:space="preserve">swoim zakresem sytuacji, gdy następuje nabycie przez upadłego rzeczy, która jest już obciążona prawem zastawniczym na zabezpieczenie długu osoby trzeciej.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r>
      <w:r w:rsidR="00D51A5D">
        <w:rPr>
          <w:rFonts w:ascii="Times New Roman" w:eastAsia="Calibri" w:hAnsi="Times New Roman" w:cs="Times New Roman"/>
          <w:sz w:val="24"/>
          <w:szCs w:val="24"/>
        </w:rPr>
        <w:t>Podsumowując poczynione rozważania wskazać należy, że z  treści art. 130 PU</w:t>
      </w:r>
      <w:r w:rsidRPr="00A6583F">
        <w:rPr>
          <w:rFonts w:ascii="Times New Roman" w:eastAsia="Calibri" w:hAnsi="Times New Roman" w:cs="Times New Roman"/>
          <w:sz w:val="24"/>
          <w:szCs w:val="24"/>
        </w:rPr>
        <w:t xml:space="preserve"> wynika, że aby obciążenie majątku upadłego hipoteką, zastawem, zastawem rejestrowym lub hipoteką morską </w:t>
      </w:r>
      <w:r w:rsidRPr="003434C0">
        <w:rPr>
          <w:rFonts w:ascii="Times New Roman" w:eastAsia="Calibri" w:hAnsi="Times New Roman" w:cs="Times New Roman"/>
          <w:b/>
          <w:sz w:val="24"/>
          <w:szCs w:val="24"/>
        </w:rPr>
        <w:t>uznane zostało przez sędziego komisarza za bezskuteczne, zaistnieć muszą kumulatywnie trzy przesłanki</w:t>
      </w:r>
      <w:r w:rsidRPr="00A6583F">
        <w:rPr>
          <w:rFonts w:ascii="Times New Roman" w:eastAsia="Calibri" w:hAnsi="Times New Roman" w:cs="Times New Roman"/>
          <w:sz w:val="24"/>
          <w:szCs w:val="24"/>
        </w:rPr>
        <w:t>:</w:t>
      </w:r>
    </w:p>
    <w:p w:rsidR="00A6583F" w:rsidRPr="00A6583F" w:rsidRDefault="00A6583F" w:rsidP="00A6583F">
      <w:pPr>
        <w:numPr>
          <w:ilvl w:val="0"/>
          <w:numId w:val="13"/>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 xml:space="preserve">Upadły nie był dłużnikiem osobistym zabezpieczonego </w:t>
      </w:r>
      <w:r w:rsidR="00D51A5D">
        <w:rPr>
          <w:rFonts w:ascii="Times New Roman" w:eastAsia="Calibri" w:hAnsi="Times New Roman" w:cs="Times New Roman"/>
          <w:sz w:val="24"/>
          <w:szCs w:val="24"/>
        </w:rPr>
        <w:t>wierzyciela (art. 130 ust. 1 PU</w:t>
      </w:r>
      <w:r w:rsidRPr="00A6583F">
        <w:rPr>
          <w:rFonts w:ascii="Times New Roman" w:eastAsia="Calibri" w:hAnsi="Times New Roman" w:cs="Times New Roman"/>
          <w:sz w:val="24"/>
          <w:szCs w:val="24"/>
        </w:rPr>
        <w:t>);</w:t>
      </w:r>
    </w:p>
    <w:p w:rsidR="00A6583F" w:rsidRPr="00A6583F" w:rsidRDefault="00A6583F" w:rsidP="00A6583F">
      <w:pPr>
        <w:numPr>
          <w:ilvl w:val="0"/>
          <w:numId w:val="13"/>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Obciążenie to ustanowione zostało w ciągu roku przed dniem złożenia wniosku o ogłoszeni</w:t>
      </w:r>
      <w:r w:rsidR="00D51A5D">
        <w:rPr>
          <w:rFonts w:ascii="Times New Roman" w:eastAsia="Calibri" w:hAnsi="Times New Roman" w:cs="Times New Roman"/>
          <w:sz w:val="24"/>
          <w:szCs w:val="24"/>
        </w:rPr>
        <w:t>e upadłości (art. 130 ust. 1 PU</w:t>
      </w:r>
      <w:r w:rsidRPr="00A6583F">
        <w:rPr>
          <w:rFonts w:ascii="Times New Roman" w:eastAsia="Calibri" w:hAnsi="Times New Roman" w:cs="Times New Roman"/>
          <w:sz w:val="24"/>
          <w:szCs w:val="24"/>
        </w:rPr>
        <w:t>);</w:t>
      </w:r>
    </w:p>
    <w:p w:rsidR="00A6583F" w:rsidRPr="00A6583F" w:rsidRDefault="00A6583F" w:rsidP="00A6583F">
      <w:pPr>
        <w:numPr>
          <w:ilvl w:val="0"/>
          <w:numId w:val="13"/>
        </w:numPr>
        <w:spacing w:after="0" w:line="360" w:lineRule="auto"/>
        <w:ind w:left="426" w:hanging="426"/>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 xml:space="preserve">Zachodzi przynajmniej jedna z trzech następujących okoliczności:  </w:t>
      </w:r>
    </w:p>
    <w:p w:rsidR="00A6583F" w:rsidRPr="00A6583F" w:rsidRDefault="00A6583F" w:rsidP="00A6583F">
      <w:pPr>
        <w:numPr>
          <w:ilvl w:val="4"/>
          <w:numId w:val="14"/>
        </w:numPr>
        <w:spacing w:after="0" w:line="360" w:lineRule="auto"/>
        <w:ind w:left="851" w:hanging="425"/>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 xml:space="preserve">  upadły w związku z ustanowieniem zabezpieczenia nie otrzymał żadnego </w:t>
      </w:r>
      <w:r w:rsidR="00D51A5D">
        <w:rPr>
          <w:rFonts w:ascii="Times New Roman" w:eastAsia="Calibri" w:hAnsi="Times New Roman" w:cs="Times New Roman"/>
          <w:sz w:val="24"/>
          <w:szCs w:val="24"/>
        </w:rPr>
        <w:t>świadczenia (art. 130 ust. 1 PU</w:t>
      </w:r>
      <w:r w:rsidRPr="00A6583F">
        <w:rPr>
          <w:rFonts w:ascii="Times New Roman" w:eastAsia="Calibri" w:hAnsi="Times New Roman" w:cs="Times New Roman"/>
          <w:sz w:val="24"/>
          <w:szCs w:val="24"/>
        </w:rPr>
        <w:t xml:space="preserve"> </w:t>
      </w:r>
      <w:proofErr w:type="spellStart"/>
      <w:r w:rsidRPr="00A6583F">
        <w:rPr>
          <w:rFonts w:ascii="Times New Roman" w:eastAsia="Calibri" w:hAnsi="Times New Roman" w:cs="Times New Roman"/>
          <w:i/>
          <w:sz w:val="24"/>
          <w:szCs w:val="24"/>
        </w:rPr>
        <w:t>in</w:t>
      </w:r>
      <w:proofErr w:type="spellEnd"/>
      <w:r w:rsidRPr="00A6583F">
        <w:rPr>
          <w:rFonts w:ascii="Times New Roman" w:eastAsia="Calibri" w:hAnsi="Times New Roman" w:cs="Times New Roman"/>
          <w:i/>
          <w:sz w:val="24"/>
          <w:szCs w:val="24"/>
        </w:rPr>
        <w:t xml:space="preserve"> </w:t>
      </w:r>
      <w:proofErr w:type="spellStart"/>
      <w:r w:rsidRPr="00A6583F">
        <w:rPr>
          <w:rFonts w:ascii="Times New Roman" w:eastAsia="Calibri" w:hAnsi="Times New Roman" w:cs="Times New Roman"/>
          <w:i/>
          <w:sz w:val="24"/>
          <w:szCs w:val="24"/>
        </w:rPr>
        <w:t>fine</w:t>
      </w:r>
      <w:proofErr w:type="spellEnd"/>
      <w:r w:rsidRPr="00A6583F">
        <w:rPr>
          <w:rFonts w:ascii="Times New Roman" w:eastAsia="Calibri" w:hAnsi="Times New Roman" w:cs="Times New Roman"/>
          <w:sz w:val="24"/>
          <w:szCs w:val="24"/>
        </w:rPr>
        <w:t>),</w:t>
      </w:r>
    </w:p>
    <w:p w:rsidR="00A6583F" w:rsidRPr="00A6583F" w:rsidRDefault="00A6583F" w:rsidP="00A6583F">
      <w:pPr>
        <w:numPr>
          <w:ilvl w:val="4"/>
          <w:numId w:val="14"/>
        </w:numPr>
        <w:spacing w:after="0" w:line="360" w:lineRule="auto"/>
        <w:ind w:left="851" w:hanging="425"/>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 xml:space="preserve">  zabezpieczenie to ustanowione zostało w zamian za świadczenie, które jest niewspółmiernie niskie do wartości udzielonego zabezpieczenia (art. 13</w:t>
      </w:r>
      <w:r w:rsidR="00D51A5D">
        <w:rPr>
          <w:rFonts w:ascii="Times New Roman" w:eastAsia="Calibri" w:hAnsi="Times New Roman" w:cs="Times New Roman"/>
          <w:sz w:val="24"/>
          <w:szCs w:val="24"/>
        </w:rPr>
        <w:t>0 ust. 2 PU</w:t>
      </w:r>
      <w:r w:rsidRPr="00A6583F">
        <w:rPr>
          <w:rFonts w:ascii="Times New Roman" w:eastAsia="Calibri" w:hAnsi="Times New Roman" w:cs="Times New Roman"/>
          <w:sz w:val="24"/>
          <w:szCs w:val="24"/>
        </w:rPr>
        <w:t>),</w:t>
      </w:r>
    </w:p>
    <w:p w:rsidR="00A6583F" w:rsidRPr="003434C0" w:rsidRDefault="00A6583F" w:rsidP="00D51A5D">
      <w:pPr>
        <w:numPr>
          <w:ilvl w:val="4"/>
          <w:numId w:val="14"/>
        </w:numPr>
        <w:spacing w:after="0" w:line="360" w:lineRule="auto"/>
        <w:ind w:left="851" w:hanging="425"/>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 xml:space="preserve">  ustanowione na majątku upadłego obciążenie zabezpiecza długi osó</w:t>
      </w:r>
      <w:r w:rsidR="00D51A5D">
        <w:rPr>
          <w:rFonts w:ascii="Times New Roman" w:eastAsia="Calibri" w:hAnsi="Times New Roman" w:cs="Times New Roman"/>
          <w:sz w:val="24"/>
          <w:szCs w:val="24"/>
        </w:rPr>
        <w:t>b, o których mowa w art. 128 PU (art. 130 ust. 3 PU</w:t>
      </w:r>
      <w:r w:rsidRPr="00A6583F">
        <w:rPr>
          <w:rFonts w:ascii="Times New Roman" w:eastAsia="Calibri" w:hAnsi="Times New Roman" w:cs="Times New Roman"/>
          <w:sz w:val="24"/>
          <w:szCs w:val="24"/>
        </w:rPr>
        <w:t xml:space="preserve">).  </w:t>
      </w:r>
      <w:r w:rsidRPr="003434C0">
        <w:rPr>
          <w:rFonts w:ascii="Times New Roman" w:eastAsia="Calibri" w:hAnsi="Times New Roman" w:cs="Times New Roman"/>
          <w:sz w:val="24"/>
          <w:szCs w:val="24"/>
        </w:rPr>
        <w:tab/>
      </w:r>
    </w:p>
    <w:p w:rsidR="00D51A5D"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Uznania obciążenia majątku upadłego za bezsku</w:t>
      </w:r>
      <w:r w:rsidR="00D51A5D">
        <w:rPr>
          <w:rFonts w:ascii="Times New Roman" w:eastAsia="Calibri" w:hAnsi="Times New Roman" w:cs="Times New Roman"/>
          <w:sz w:val="24"/>
          <w:szCs w:val="24"/>
        </w:rPr>
        <w:t>teczne na podstawie art. 130 PU</w:t>
      </w:r>
      <w:r w:rsidRPr="00A6583F">
        <w:rPr>
          <w:rFonts w:ascii="Times New Roman" w:eastAsia="Calibri" w:hAnsi="Times New Roman" w:cs="Times New Roman"/>
          <w:sz w:val="24"/>
          <w:szCs w:val="24"/>
        </w:rPr>
        <w:t>, dokonywane jest, jak już zaznaczono, na mocy postanowienia sędziego-komisarza, mającego charakter konstytutywny.</w:t>
      </w:r>
      <w:r w:rsidR="00D51A5D">
        <w:rPr>
          <w:rFonts w:ascii="Times New Roman" w:eastAsia="Calibri" w:hAnsi="Times New Roman" w:cs="Times New Roman"/>
          <w:sz w:val="24"/>
          <w:szCs w:val="24"/>
        </w:rPr>
        <w:t xml:space="preserve"> </w:t>
      </w:r>
      <w:r w:rsidR="00D51A5D" w:rsidRPr="00D51A5D">
        <w:rPr>
          <w:rFonts w:ascii="Times New Roman" w:eastAsia="Calibri" w:hAnsi="Times New Roman" w:cs="Times New Roman"/>
          <w:sz w:val="24"/>
          <w:szCs w:val="24"/>
        </w:rPr>
        <w:t>Na postanowienie sędziego-komisarza przysługuje zażalenie</w:t>
      </w:r>
      <w:r w:rsidR="00D51A5D">
        <w:rPr>
          <w:rFonts w:ascii="Times New Roman" w:eastAsia="Calibri" w:hAnsi="Times New Roman" w:cs="Times New Roman"/>
          <w:sz w:val="24"/>
          <w:szCs w:val="24"/>
        </w:rPr>
        <w:t>.</w:t>
      </w:r>
    </w:p>
    <w:p w:rsidR="00D51A5D" w:rsidRDefault="00D51A5D" w:rsidP="00A6583F">
      <w:pPr>
        <w:spacing w:after="0" w:line="360" w:lineRule="auto"/>
        <w:jc w:val="both"/>
        <w:rPr>
          <w:rFonts w:ascii="Times New Roman" w:eastAsia="Calibri" w:hAnsi="Times New Roman" w:cs="Times New Roman"/>
          <w:sz w:val="24"/>
          <w:szCs w:val="24"/>
        </w:rPr>
      </w:pPr>
    </w:p>
    <w:p w:rsidR="00D51A5D" w:rsidRPr="00A145FB" w:rsidRDefault="003434C0" w:rsidP="00A145FB">
      <w:pPr>
        <w:pStyle w:val="Akapitzlist"/>
        <w:numPr>
          <w:ilvl w:val="1"/>
          <w:numId w:val="15"/>
        </w:numPr>
        <w:spacing w:after="0" w:line="360" w:lineRule="auto"/>
        <w:ind w:left="567" w:hanging="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Inne przypadki uznania </w:t>
      </w:r>
      <w:r w:rsidRPr="00A145FB">
        <w:rPr>
          <w:rFonts w:ascii="Times New Roman" w:eastAsia="Calibri" w:hAnsi="Times New Roman" w:cs="Times New Roman"/>
          <w:b/>
          <w:sz w:val="24"/>
          <w:szCs w:val="24"/>
        </w:rPr>
        <w:t xml:space="preserve">przez sędziego-komisarza </w:t>
      </w:r>
      <w:r w:rsidR="00D51A5D" w:rsidRPr="00A145FB">
        <w:rPr>
          <w:rFonts w:ascii="Times New Roman" w:eastAsia="Calibri" w:hAnsi="Times New Roman" w:cs="Times New Roman"/>
          <w:b/>
          <w:sz w:val="24"/>
          <w:szCs w:val="24"/>
        </w:rPr>
        <w:t>określonych czynności za bezskuteczne w stosunku do masy upa</w:t>
      </w:r>
      <w:r w:rsidR="00A145FB" w:rsidRPr="00A145FB">
        <w:rPr>
          <w:rFonts w:ascii="Times New Roman" w:eastAsia="Calibri" w:hAnsi="Times New Roman" w:cs="Times New Roman"/>
          <w:b/>
          <w:sz w:val="24"/>
          <w:szCs w:val="24"/>
        </w:rPr>
        <w:t xml:space="preserve">dłości </w:t>
      </w:r>
    </w:p>
    <w:p w:rsidR="00D51A5D" w:rsidRDefault="00D51A5D" w:rsidP="00A6583F">
      <w:pPr>
        <w:spacing w:after="0" w:line="360" w:lineRule="auto"/>
        <w:ind w:left="284" w:hanging="284"/>
        <w:jc w:val="both"/>
        <w:rPr>
          <w:rFonts w:ascii="Times New Roman" w:eastAsia="Calibri" w:hAnsi="Times New Roman" w:cs="Times New Roman"/>
          <w:sz w:val="24"/>
          <w:szCs w:val="24"/>
        </w:rPr>
      </w:pPr>
    </w:p>
    <w:p w:rsidR="00BD560B" w:rsidRDefault="00BD560B" w:rsidP="00BD560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Zgodnie z </w:t>
      </w:r>
      <w:r w:rsidRPr="00BD560B">
        <w:rPr>
          <w:rFonts w:ascii="Times New Roman" w:eastAsia="Calibri" w:hAnsi="Times New Roman" w:cs="Times New Roman"/>
          <w:bCs/>
          <w:sz w:val="24"/>
          <w:szCs w:val="24"/>
        </w:rPr>
        <w:t>art. 129 ust.</w:t>
      </w:r>
      <w:r w:rsidRPr="00BD560B">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1 PU j</w:t>
      </w:r>
      <w:r w:rsidRPr="00BD560B">
        <w:rPr>
          <w:rFonts w:ascii="Times New Roman" w:eastAsia="Calibri" w:hAnsi="Times New Roman" w:cs="Times New Roman"/>
          <w:sz w:val="24"/>
          <w:szCs w:val="24"/>
        </w:rPr>
        <w:t xml:space="preserve">eżeli wynagrodzenie za pracę reprezentanta upadłego lub pracownika upadłego wykonującego zadania w zakresie zarządu przedsiębiorstwem lub </w:t>
      </w:r>
      <w:r w:rsidRPr="00BD560B">
        <w:rPr>
          <w:rFonts w:ascii="Times New Roman" w:eastAsia="Calibri" w:hAnsi="Times New Roman" w:cs="Times New Roman"/>
          <w:sz w:val="24"/>
          <w:szCs w:val="24"/>
        </w:rPr>
        <w:lastRenderedPageBreak/>
        <w:t>wynagrodzenie osoby świadczącej usługi związane z zarządem lub nadzorem nad przedsiębiorstwem upadłego określone w umowie o pracę, umowie o świadczenie usług lub uchwale organu upadłego zawartej lub podjętej przed dniem ogłoszenia upadłości jest rażąco wyższe od przeciętnego wynagrodzenia za tego rodzaju pracę lub usługi i nie jest uzasadnione nakładem pracy, sędzia-komisarz z urzędu albo na wniosek syndyka uznaje, że określona część wynagrodzenia przypadająca za okres przed dniem ogłoszenia upadłości, nie dłuższy jednak niż sześć miesięcy przed dniem złożenia wniosku o ogłoszenie upadłości, jest bezskuteczna w stosunku do masy upadłości, chociażby wynagrodzenie zostało już wypłacone. Sędzia-komisarz może uznać za bezskuteczne w całości lub części w stosunku do masy upadłości wynagrodzenie reprezentanta upadłego, pracownika upadłego wykonującego zadania w zakresie zarządu przedsiębiorstwem lub osoby świadczącej usługi związane z zarządem lub nadzorem nad przedsiębiorstwem upadłego przypadające za czas po dniu</w:t>
      </w:r>
      <w:r>
        <w:rPr>
          <w:rFonts w:ascii="Times New Roman" w:eastAsia="Calibri" w:hAnsi="Times New Roman" w:cs="Times New Roman"/>
          <w:sz w:val="24"/>
          <w:szCs w:val="24"/>
        </w:rPr>
        <w:t xml:space="preserve"> </w:t>
      </w:r>
      <w:r w:rsidRPr="00BD560B">
        <w:rPr>
          <w:rFonts w:ascii="Times New Roman" w:eastAsia="Calibri" w:hAnsi="Times New Roman" w:cs="Times New Roman"/>
          <w:sz w:val="24"/>
          <w:szCs w:val="24"/>
        </w:rPr>
        <w:t>ogłoszenia upadłości, jeżeli ze względu na objęcie zarządu przez syndyka nie jest ono uzasadnione nakładem pracy.</w:t>
      </w:r>
      <w:r>
        <w:rPr>
          <w:rFonts w:ascii="Times New Roman" w:eastAsia="Calibri" w:hAnsi="Times New Roman" w:cs="Times New Roman"/>
          <w:sz w:val="24"/>
          <w:szCs w:val="24"/>
        </w:rPr>
        <w:t xml:space="preserve"> </w:t>
      </w:r>
      <w:r w:rsidRPr="00BD560B">
        <w:rPr>
          <w:rFonts w:ascii="Times New Roman" w:eastAsia="Calibri" w:hAnsi="Times New Roman" w:cs="Times New Roman"/>
          <w:sz w:val="24"/>
          <w:szCs w:val="24"/>
        </w:rPr>
        <w:t xml:space="preserve">W przypadku, </w:t>
      </w:r>
      <w:r>
        <w:rPr>
          <w:rFonts w:ascii="Times New Roman" w:eastAsia="Calibri" w:hAnsi="Times New Roman" w:cs="Times New Roman"/>
          <w:sz w:val="24"/>
          <w:szCs w:val="24"/>
        </w:rPr>
        <w:t>takim</w:t>
      </w:r>
      <w:r w:rsidRPr="00BD560B">
        <w:rPr>
          <w:rFonts w:ascii="Times New Roman" w:eastAsia="Calibri" w:hAnsi="Times New Roman" w:cs="Times New Roman"/>
          <w:sz w:val="24"/>
          <w:szCs w:val="24"/>
        </w:rPr>
        <w:t xml:space="preserve"> sędzia-komisarz określa podlegające zaspokojeniu z masy upadłości wynagrodzenie w wysokości odpowiedniej do pracy wykonanej przez reprezentanta upadłego, pracownika upadłego wykonującego zadania w zakresie zarządu przedsiębiorstwem lub osobę wykonującą czynności związane z zarządem lub nadzorem nad przedsiębiorstwem upadłego. Sędzia-komisarz wydaje postanowienie po wysłuchaniu syndyka oraz reprezentanta, pracownika upadłego lub osoby wykonującej czynności związane z zarządem lub nadzorem nad przedsiębiorstwem upadłego</w:t>
      </w:r>
      <w:r>
        <w:rPr>
          <w:rFonts w:ascii="Times New Roman" w:eastAsia="Calibri" w:hAnsi="Times New Roman" w:cs="Times New Roman"/>
          <w:sz w:val="24"/>
          <w:szCs w:val="24"/>
        </w:rPr>
        <w:t>.</w:t>
      </w:r>
    </w:p>
    <w:p w:rsidR="00BD560B" w:rsidRDefault="00BD560B" w:rsidP="00BD560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Przepisy te </w:t>
      </w:r>
      <w:r w:rsidRPr="00BD560B">
        <w:rPr>
          <w:rFonts w:ascii="Times New Roman" w:eastAsia="Calibri" w:hAnsi="Times New Roman" w:cs="Times New Roman"/>
          <w:sz w:val="24"/>
          <w:szCs w:val="24"/>
        </w:rPr>
        <w:t>stosuje się odpowiednio do świadczeń przysługujących w związku z rozwiązaniem stosunku pracy albo umowy o usługi związane z zarządem przedsiębiorstwem, z tym że ograniczenie wysokości tych świadczeń następuje do wysokości określonych według zasad powszechnie obowiązujących</w:t>
      </w:r>
      <w:r>
        <w:rPr>
          <w:rFonts w:ascii="Times New Roman" w:eastAsia="Calibri" w:hAnsi="Times New Roman" w:cs="Times New Roman"/>
          <w:sz w:val="24"/>
          <w:szCs w:val="24"/>
        </w:rPr>
        <w:t>.</w:t>
      </w:r>
    </w:p>
    <w:p w:rsidR="00BD560B" w:rsidRDefault="00BD560B" w:rsidP="00BD560B">
      <w:pPr>
        <w:spacing w:after="0" w:line="360" w:lineRule="auto"/>
        <w:ind w:firstLine="567"/>
        <w:jc w:val="both"/>
        <w:rPr>
          <w:rFonts w:ascii="Times New Roman" w:eastAsia="Calibri" w:hAnsi="Times New Roman" w:cs="Times New Roman"/>
          <w:sz w:val="24"/>
          <w:szCs w:val="24"/>
        </w:rPr>
      </w:pPr>
      <w:r w:rsidRPr="00BD560B">
        <w:rPr>
          <w:rFonts w:ascii="Times New Roman" w:eastAsia="Calibri" w:hAnsi="Times New Roman" w:cs="Times New Roman"/>
          <w:sz w:val="24"/>
          <w:szCs w:val="24"/>
        </w:rPr>
        <w:t xml:space="preserve">Na </w:t>
      </w:r>
      <w:r>
        <w:rPr>
          <w:rFonts w:ascii="Times New Roman" w:eastAsia="Calibri" w:hAnsi="Times New Roman" w:cs="Times New Roman"/>
          <w:sz w:val="24"/>
          <w:szCs w:val="24"/>
        </w:rPr>
        <w:t>wydawane w powyższych sprawach postanowienia</w:t>
      </w:r>
      <w:r w:rsidRPr="00BD560B">
        <w:rPr>
          <w:rFonts w:ascii="Times New Roman" w:eastAsia="Calibri" w:hAnsi="Times New Roman" w:cs="Times New Roman"/>
          <w:sz w:val="24"/>
          <w:szCs w:val="24"/>
        </w:rPr>
        <w:t xml:space="preserve"> sędziego-komisarza przysługuje zażalenie</w:t>
      </w:r>
      <w:r>
        <w:rPr>
          <w:rFonts w:ascii="Times New Roman" w:eastAsia="Calibri" w:hAnsi="Times New Roman" w:cs="Times New Roman"/>
          <w:sz w:val="24"/>
          <w:szCs w:val="24"/>
        </w:rPr>
        <w:t>.</w:t>
      </w:r>
    </w:p>
    <w:p w:rsidR="00B72270" w:rsidRDefault="00B72270" w:rsidP="00BD560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 130a PU s</w:t>
      </w:r>
      <w:r w:rsidRPr="00B72270">
        <w:rPr>
          <w:rFonts w:ascii="Times New Roman" w:eastAsia="Calibri" w:hAnsi="Times New Roman" w:cs="Times New Roman"/>
          <w:sz w:val="24"/>
          <w:szCs w:val="24"/>
        </w:rPr>
        <w:t>ędzia-komisarz na wniosek syndyka uzna za bezskuteczne w stosunku do masy upadłości w całości lub części kary umowne zastrzeżone na wypadek niewykonania lub nienależytego wykonania zobowiązania, jeżeli zobowiązanie zostało w znacznej części wykonane przez upadłego lub jeżeli kara</w:t>
      </w:r>
      <w:r w:rsidRPr="00B72270">
        <w:rPr>
          <w:rFonts w:ascii="Times New Roman" w:hAnsi="Times New Roman" w:cs="Times New Roman"/>
          <w:color w:val="000000"/>
          <w:sz w:val="23"/>
          <w:szCs w:val="23"/>
        </w:rPr>
        <w:t xml:space="preserve"> </w:t>
      </w:r>
      <w:r w:rsidRPr="00B72270">
        <w:rPr>
          <w:rFonts w:ascii="Times New Roman" w:eastAsia="Calibri" w:hAnsi="Times New Roman" w:cs="Times New Roman"/>
          <w:sz w:val="24"/>
          <w:szCs w:val="24"/>
        </w:rPr>
        <w:t>umowna jest rażąco wygórowana. Na postanowienie sędziego-komisarza przysługuje zażalenie</w:t>
      </w:r>
      <w:r>
        <w:rPr>
          <w:rFonts w:ascii="Times New Roman" w:eastAsia="Calibri" w:hAnsi="Times New Roman" w:cs="Times New Roman"/>
          <w:sz w:val="24"/>
          <w:szCs w:val="24"/>
        </w:rPr>
        <w:t>.</w:t>
      </w:r>
    </w:p>
    <w:p w:rsidR="00A145FB" w:rsidRDefault="00A145FB" w:rsidP="00B72270">
      <w:pPr>
        <w:spacing w:after="0" w:line="360" w:lineRule="auto"/>
        <w:jc w:val="both"/>
        <w:rPr>
          <w:rFonts w:ascii="Times New Roman" w:eastAsia="Calibri" w:hAnsi="Times New Roman" w:cs="Times New Roman"/>
          <w:sz w:val="24"/>
          <w:szCs w:val="24"/>
        </w:rPr>
      </w:pPr>
    </w:p>
    <w:p w:rsidR="0043447F" w:rsidRDefault="0043447F" w:rsidP="00B72270">
      <w:pPr>
        <w:spacing w:after="0" w:line="360" w:lineRule="auto"/>
        <w:jc w:val="both"/>
        <w:rPr>
          <w:rFonts w:ascii="Times New Roman" w:eastAsia="Calibri" w:hAnsi="Times New Roman" w:cs="Times New Roman"/>
          <w:sz w:val="24"/>
          <w:szCs w:val="24"/>
        </w:rPr>
      </w:pPr>
    </w:p>
    <w:p w:rsidR="00A6583F" w:rsidRPr="00A6583F" w:rsidRDefault="00A6583F" w:rsidP="00A6583F">
      <w:pPr>
        <w:spacing w:after="0" w:line="360" w:lineRule="auto"/>
        <w:ind w:left="284" w:hanging="284"/>
        <w:jc w:val="both"/>
        <w:rPr>
          <w:rFonts w:ascii="Times New Roman" w:eastAsia="Calibri" w:hAnsi="Times New Roman" w:cs="Times New Roman"/>
          <w:b/>
          <w:sz w:val="24"/>
          <w:szCs w:val="24"/>
        </w:rPr>
      </w:pPr>
      <w:r w:rsidRPr="00A6583F">
        <w:rPr>
          <w:rFonts w:ascii="Times New Roman" w:eastAsia="Calibri" w:hAnsi="Times New Roman" w:cs="Times New Roman"/>
          <w:b/>
          <w:sz w:val="24"/>
          <w:szCs w:val="24"/>
        </w:rPr>
        <w:lastRenderedPageBreak/>
        <w:t xml:space="preserve">5. Zaskarżanie czynności </w:t>
      </w:r>
      <w:r w:rsidR="00D51A5D">
        <w:rPr>
          <w:rFonts w:ascii="Times New Roman" w:eastAsia="Calibri" w:hAnsi="Times New Roman" w:cs="Times New Roman"/>
          <w:b/>
          <w:sz w:val="24"/>
          <w:szCs w:val="24"/>
        </w:rPr>
        <w:t xml:space="preserve">prawnych </w:t>
      </w:r>
      <w:r w:rsidRPr="00A6583F">
        <w:rPr>
          <w:rFonts w:ascii="Times New Roman" w:eastAsia="Calibri" w:hAnsi="Times New Roman" w:cs="Times New Roman"/>
          <w:b/>
          <w:sz w:val="24"/>
          <w:szCs w:val="24"/>
        </w:rPr>
        <w:t xml:space="preserve">upadłego </w:t>
      </w:r>
      <w:r w:rsidR="00D51A5D">
        <w:rPr>
          <w:rFonts w:ascii="Times New Roman" w:eastAsia="Calibri" w:hAnsi="Times New Roman" w:cs="Times New Roman"/>
          <w:b/>
          <w:sz w:val="24"/>
          <w:szCs w:val="24"/>
        </w:rPr>
        <w:t>dokonanych z pokrzywdzeniem wierzycieli</w:t>
      </w:r>
      <w:r w:rsidRPr="00A6583F">
        <w:rPr>
          <w:rFonts w:ascii="Times New Roman" w:eastAsia="Calibri" w:hAnsi="Times New Roman" w:cs="Times New Roman"/>
          <w:b/>
          <w:sz w:val="24"/>
          <w:szCs w:val="24"/>
        </w:rPr>
        <w:t xml:space="preserve"> poprzez skargę </w:t>
      </w:r>
      <w:proofErr w:type="spellStart"/>
      <w:r w:rsidRPr="00A6583F">
        <w:rPr>
          <w:rFonts w:ascii="Times New Roman" w:eastAsia="Calibri" w:hAnsi="Times New Roman" w:cs="Times New Roman"/>
          <w:b/>
          <w:sz w:val="24"/>
          <w:szCs w:val="24"/>
        </w:rPr>
        <w:t>pauliańską</w:t>
      </w:r>
      <w:proofErr w:type="spellEnd"/>
    </w:p>
    <w:p w:rsidR="00A6583F" w:rsidRPr="00A6583F" w:rsidRDefault="00A6583F" w:rsidP="00A6583F">
      <w:pPr>
        <w:spacing w:after="0" w:line="360" w:lineRule="auto"/>
        <w:jc w:val="both"/>
        <w:rPr>
          <w:rFonts w:ascii="Times New Roman" w:eastAsia="Calibri" w:hAnsi="Times New Roman" w:cs="Times New Roman"/>
          <w:sz w:val="24"/>
          <w:szCs w:val="24"/>
        </w:rPr>
      </w:pPr>
    </w:p>
    <w:p w:rsidR="00A6583F" w:rsidRPr="00A6583F" w:rsidRDefault="00BD560B"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131 PU</w:t>
      </w:r>
      <w:r w:rsidR="00A6583F" w:rsidRPr="00A6583F">
        <w:rPr>
          <w:rFonts w:ascii="Times New Roman" w:eastAsia="Calibri" w:hAnsi="Times New Roman" w:cs="Times New Roman"/>
          <w:sz w:val="24"/>
          <w:szCs w:val="24"/>
        </w:rPr>
        <w:t>, w sprawach nieuregulowanych przepisami art. 127–130</w:t>
      </w:r>
      <w:r w:rsidR="00D51A5D">
        <w:rPr>
          <w:rFonts w:ascii="Times New Roman" w:eastAsia="Calibri" w:hAnsi="Times New Roman" w:cs="Times New Roman"/>
          <w:sz w:val="24"/>
          <w:szCs w:val="24"/>
        </w:rPr>
        <w:t>a</w:t>
      </w:r>
      <w:r w:rsidR="00A6583F" w:rsidRPr="00A6583F">
        <w:rPr>
          <w:rFonts w:ascii="Times New Roman" w:eastAsia="Calibri" w:hAnsi="Times New Roman" w:cs="Times New Roman"/>
          <w:sz w:val="24"/>
          <w:szCs w:val="24"/>
        </w:rPr>
        <w:t xml:space="preserve"> do zaskarżenia czynności prawnych upadłego, dokonanych z pokrzywdzeniem wierzycieli, stosuje się odpow</w:t>
      </w:r>
      <w:r>
        <w:rPr>
          <w:rFonts w:ascii="Times New Roman" w:eastAsia="Calibri" w:hAnsi="Times New Roman" w:cs="Times New Roman"/>
          <w:sz w:val="24"/>
          <w:szCs w:val="24"/>
        </w:rPr>
        <w:t>iednio przepisy art. 132–134 PU</w:t>
      </w:r>
      <w:r w:rsidR="00A6583F" w:rsidRPr="00A6583F">
        <w:rPr>
          <w:rFonts w:ascii="Times New Roman" w:eastAsia="Calibri" w:hAnsi="Times New Roman" w:cs="Times New Roman"/>
          <w:sz w:val="24"/>
          <w:szCs w:val="24"/>
        </w:rPr>
        <w:t xml:space="preserve"> oraz przepisy KC o ochronie wierzyciela w razie niewypłacalności dłużnika</w:t>
      </w:r>
      <w:r>
        <w:rPr>
          <w:rFonts w:ascii="Times New Roman" w:eastAsia="Calibri" w:hAnsi="Times New Roman" w:cs="Times New Roman"/>
          <w:sz w:val="24"/>
          <w:szCs w:val="24"/>
        </w:rPr>
        <w:t>. Powyższy przepis PU</w:t>
      </w:r>
      <w:r w:rsidR="00A6583F" w:rsidRPr="00A6583F">
        <w:rPr>
          <w:rFonts w:ascii="Times New Roman" w:eastAsia="Calibri" w:hAnsi="Times New Roman" w:cs="Times New Roman"/>
          <w:sz w:val="24"/>
          <w:szCs w:val="24"/>
        </w:rPr>
        <w:t xml:space="preserve"> umożliwia zatem zaskarżanie czynności upadłego dokonanych z pokrzywdzeniem wierzycieli w oparciu o przepisy art. 527 i nast. KC, a zatem poprzez </w:t>
      </w:r>
      <w:r>
        <w:rPr>
          <w:rFonts w:ascii="Times New Roman" w:eastAsia="Calibri" w:hAnsi="Times New Roman" w:cs="Times New Roman"/>
          <w:sz w:val="24"/>
          <w:szCs w:val="24"/>
        </w:rPr>
        <w:t xml:space="preserve">tzw. </w:t>
      </w:r>
      <w:r w:rsidR="00A6583F" w:rsidRPr="00A6583F">
        <w:rPr>
          <w:rFonts w:ascii="Times New Roman" w:eastAsia="Calibri" w:hAnsi="Times New Roman" w:cs="Times New Roman"/>
          <w:sz w:val="24"/>
          <w:szCs w:val="24"/>
        </w:rPr>
        <w:t xml:space="preserve">skargę </w:t>
      </w:r>
      <w:proofErr w:type="spellStart"/>
      <w:r w:rsidR="00A6583F" w:rsidRPr="00A6583F">
        <w:rPr>
          <w:rFonts w:ascii="Times New Roman" w:eastAsia="Calibri" w:hAnsi="Times New Roman" w:cs="Times New Roman"/>
          <w:sz w:val="24"/>
          <w:szCs w:val="24"/>
        </w:rPr>
        <w:t>pauliańską</w:t>
      </w:r>
      <w:proofErr w:type="spellEnd"/>
      <w:r w:rsidR="00A6583F" w:rsidRPr="00A6583F">
        <w:rPr>
          <w:rFonts w:ascii="Times New Roman" w:eastAsia="Calibri" w:hAnsi="Times New Roman" w:cs="Times New Roman"/>
          <w:sz w:val="24"/>
          <w:szCs w:val="24"/>
        </w:rPr>
        <w:t xml:space="preserve">. Przepisy KC dotyczące </w:t>
      </w:r>
      <w:proofErr w:type="spellStart"/>
      <w:r w:rsidR="00A6583F" w:rsidRPr="00A6583F">
        <w:rPr>
          <w:rFonts w:ascii="Times New Roman" w:eastAsia="Calibri" w:hAnsi="Times New Roman" w:cs="Times New Roman"/>
          <w:i/>
          <w:sz w:val="24"/>
          <w:szCs w:val="24"/>
        </w:rPr>
        <w:t>actio</w:t>
      </w:r>
      <w:proofErr w:type="spellEnd"/>
      <w:r w:rsidR="00A6583F" w:rsidRPr="00A6583F">
        <w:rPr>
          <w:rFonts w:ascii="Times New Roman" w:eastAsia="Calibri" w:hAnsi="Times New Roman" w:cs="Times New Roman"/>
          <w:i/>
          <w:sz w:val="24"/>
          <w:szCs w:val="24"/>
        </w:rPr>
        <w:t xml:space="preserve"> </w:t>
      </w:r>
      <w:proofErr w:type="spellStart"/>
      <w:r w:rsidR="00A6583F" w:rsidRPr="00A6583F">
        <w:rPr>
          <w:rFonts w:ascii="Times New Roman" w:eastAsia="Calibri" w:hAnsi="Times New Roman" w:cs="Times New Roman"/>
          <w:i/>
          <w:sz w:val="24"/>
          <w:szCs w:val="24"/>
        </w:rPr>
        <w:t>pauliana</w:t>
      </w:r>
      <w:proofErr w:type="spellEnd"/>
      <w:r w:rsidR="00A6583F" w:rsidRPr="00A6583F">
        <w:rPr>
          <w:rFonts w:ascii="Times New Roman" w:eastAsia="Calibri" w:hAnsi="Times New Roman" w:cs="Times New Roman"/>
          <w:sz w:val="24"/>
          <w:szCs w:val="24"/>
        </w:rPr>
        <w:t xml:space="preserve">, mają więc charakter komplementarny względem regulacji zawartych w PU.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W postępowaniu upadłościowym czynności upadłego dokonane z pokrzywdzeniem wierzycieli, poprzez wytoczenie powództwa, zaskarżyć </w:t>
      </w:r>
      <w:r w:rsidR="00BD560B">
        <w:rPr>
          <w:rFonts w:ascii="Times New Roman" w:eastAsia="Calibri" w:hAnsi="Times New Roman" w:cs="Times New Roman"/>
          <w:sz w:val="24"/>
          <w:szCs w:val="24"/>
        </w:rPr>
        <w:t>może syndyk (art. 132 ust. 1 PU</w:t>
      </w:r>
      <w:r w:rsidRPr="00A6583F">
        <w:rPr>
          <w:rFonts w:ascii="Times New Roman" w:eastAsia="Calibri" w:hAnsi="Times New Roman" w:cs="Times New Roman"/>
          <w:sz w:val="24"/>
          <w:szCs w:val="24"/>
        </w:rPr>
        <w:t>),  nie ponosząc przy tym opł</w:t>
      </w:r>
      <w:r w:rsidR="00BD560B">
        <w:rPr>
          <w:rFonts w:ascii="Times New Roman" w:eastAsia="Calibri" w:hAnsi="Times New Roman" w:cs="Times New Roman"/>
          <w:sz w:val="24"/>
          <w:szCs w:val="24"/>
        </w:rPr>
        <w:t>at sądowych (art. 132 ust. 2 PU</w:t>
      </w:r>
      <w:r w:rsidRPr="00A6583F">
        <w:rPr>
          <w:rFonts w:ascii="Times New Roman" w:eastAsia="Calibri" w:hAnsi="Times New Roman" w:cs="Times New Roman"/>
          <w:sz w:val="24"/>
          <w:szCs w:val="24"/>
        </w:rPr>
        <w:t xml:space="preserve">). Przepis ten odbiera zatem poszczególnym wierzycielom upadłego prawo do wytoczenia powództwa o uznanie jego czynności za bezskuteczne, przyznając je </w:t>
      </w:r>
      <w:r w:rsidR="00BD560B">
        <w:rPr>
          <w:rFonts w:ascii="Times New Roman" w:eastAsia="Calibri" w:hAnsi="Times New Roman" w:cs="Times New Roman"/>
          <w:sz w:val="24"/>
          <w:szCs w:val="24"/>
        </w:rPr>
        <w:t xml:space="preserve">jedynie </w:t>
      </w:r>
      <w:r w:rsidRPr="00A6583F">
        <w:rPr>
          <w:rFonts w:ascii="Times New Roman" w:eastAsia="Calibri" w:hAnsi="Times New Roman" w:cs="Times New Roman"/>
          <w:sz w:val="24"/>
          <w:szCs w:val="24"/>
        </w:rPr>
        <w:t>syndykowi. Zaznaczyć należy jednak, że zaskarżenia czynności upadłego w drodze zarzutu, o którym mowa w art. 531 §1 KC</w:t>
      </w:r>
      <w:r w:rsidR="0043447F">
        <w:rPr>
          <w:rFonts w:ascii="Times New Roman" w:eastAsia="Calibri" w:hAnsi="Times New Roman" w:cs="Times New Roman"/>
          <w:sz w:val="24"/>
          <w:szCs w:val="24"/>
        </w:rPr>
        <w:t xml:space="preserve"> </w:t>
      </w:r>
      <w:r w:rsidRPr="00A6583F">
        <w:rPr>
          <w:rFonts w:ascii="Times New Roman" w:eastAsia="Calibri" w:hAnsi="Times New Roman" w:cs="Times New Roman"/>
          <w:sz w:val="24"/>
          <w:szCs w:val="24"/>
        </w:rPr>
        <w:t>dokonać może każdy z wierzycieli upadłego.</w:t>
      </w:r>
    </w:p>
    <w:p w:rsidR="00A6583F" w:rsidRPr="00A6583F" w:rsidRDefault="00BD560B" w:rsidP="00A6583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132 ust. 3 PU</w:t>
      </w:r>
      <w:r w:rsidR="00A6583F" w:rsidRPr="00A6583F">
        <w:rPr>
          <w:rFonts w:ascii="Times New Roman" w:eastAsia="Calibri" w:hAnsi="Times New Roman" w:cs="Times New Roman"/>
          <w:sz w:val="24"/>
          <w:szCs w:val="24"/>
        </w:rPr>
        <w:t xml:space="preserve">, nie można żądać uznania czynności za bezskuteczną po upływie dwóch lat od dnia ogłoszenia upadłości, chyba że na podstawie przepisów KC uprawnienie to wygasło wcześniej. Termin ten ma charakter </w:t>
      </w:r>
      <w:proofErr w:type="spellStart"/>
      <w:r w:rsidR="00A6583F" w:rsidRPr="00A6583F">
        <w:rPr>
          <w:rFonts w:ascii="Times New Roman" w:eastAsia="Calibri" w:hAnsi="Times New Roman" w:cs="Times New Roman"/>
          <w:sz w:val="24"/>
          <w:szCs w:val="24"/>
        </w:rPr>
        <w:t>materialnoprawny</w:t>
      </w:r>
      <w:proofErr w:type="spellEnd"/>
      <w:r w:rsidR="00A6583F" w:rsidRPr="00A6583F">
        <w:rPr>
          <w:rFonts w:ascii="Times New Roman" w:eastAsia="Calibri" w:hAnsi="Times New Roman" w:cs="Times New Roman"/>
          <w:sz w:val="24"/>
          <w:szCs w:val="24"/>
        </w:rPr>
        <w:t xml:space="preserve"> i prekluzyjny. Powyższy dwuletni termin nie ma jednak zastosowania, gdy żądanie uznania czynności za bezskuteczną zgłoszone zostało w drodze zarzutu – w takim przypadku obowiązuje pięcioletni termin z art. 534 KC. </w:t>
      </w:r>
    </w:p>
    <w:p w:rsidR="00A6583F" w:rsidRPr="00A6583F" w:rsidRDefault="00A6583F" w:rsidP="00A6583F">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Podkreślić należy, że w omawianym przypadku uznanie określonych czynności upadłego za bezskuteczne nie następuje ani z mocy prawa, ani na drodze postanowienia sędziego-komisarza, wydanego w try</w:t>
      </w:r>
      <w:r w:rsidR="00BD560B">
        <w:rPr>
          <w:rFonts w:ascii="Times New Roman" w:eastAsia="Calibri" w:hAnsi="Times New Roman" w:cs="Times New Roman"/>
          <w:sz w:val="24"/>
          <w:szCs w:val="24"/>
        </w:rPr>
        <w:t>bie przewidzianym przepisami PU</w:t>
      </w:r>
      <w:r w:rsidRPr="00A6583F">
        <w:rPr>
          <w:rFonts w:ascii="Times New Roman" w:eastAsia="Calibri" w:hAnsi="Times New Roman" w:cs="Times New Roman"/>
          <w:sz w:val="24"/>
          <w:szCs w:val="24"/>
        </w:rPr>
        <w:t>, lecz przez sąd w postępowaniu cywilnym, wszczętym w wyniku powództwa syndyka, ewentualnie w wyniku zarzutu</w:t>
      </w:r>
      <w:r w:rsidRPr="00A6583F">
        <w:rPr>
          <w:rFonts w:ascii="Times New Roman" w:eastAsia="Calibri" w:hAnsi="Times New Roman" w:cs="Times New Roman"/>
          <w:i/>
          <w:sz w:val="24"/>
          <w:szCs w:val="24"/>
        </w:rPr>
        <w:t>.</w:t>
      </w:r>
      <w:r w:rsidRPr="00A6583F">
        <w:rPr>
          <w:rFonts w:ascii="Times New Roman" w:eastAsia="Calibri" w:hAnsi="Times New Roman" w:cs="Times New Roman"/>
          <w:sz w:val="24"/>
          <w:szCs w:val="24"/>
        </w:rPr>
        <w:t xml:space="preserve"> Bliższe rozpatrywanie problematyki uznania czynności prawnych dłużnika zdziałanych z pokrzywdzeniem wierzycieli za bezskuteczne w oparciu o art. 527 i nast. KC nie jest </w:t>
      </w:r>
      <w:r w:rsidR="00BD560B">
        <w:rPr>
          <w:rFonts w:ascii="Times New Roman" w:eastAsia="Calibri" w:hAnsi="Times New Roman" w:cs="Times New Roman"/>
          <w:sz w:val="24"/>
          <w:szCs w:val="24"/>
        </w:rPr>
        <w:t>jednak  konieczne, jako nie należące</w:t>
      </w:r>
      <w:r w:rsidRPr="00A6583F">
        <w:rPr>
          <w:rFonts w:ascii="Times New Roman" w:eastAsia="Calibri" w:hAnsi="Times New Roman" w:cs="Times New Roman"/>
          <w:sz w:val="24"/>
          <w:szCs w:val="24"/>
        </w:rPr>
        <w:t xml:space="preserve"> do zakresu objętego regulacją prawa upadłościowego.</w:t>
      </w:r>
    </w:p>
    <w:p w:rsidR="00793977" w:rsidRPr="00C77DE7" w:rsidRDefault="00A6583F" w:rsidP="00C77DE7">
      <w:pPr>
        <w:spacing w:after="0" w:line="360" w:lineRule="auto"/>
        <w:jc w:val="both"/>
        <w:rPr>
          <w:rFonts w:ascii="Times New Roman" w:eastAsia="Calibri" w:hAnsi="Times New Roman" w:cs="Times New Roman"/>
          <w:sz w:val="24"/>
          <w:szCs w:val="24"/>
        </w:rPr>
      </w:pPr>
      <w:r w:rsidRPr="00A6583F">
        <w:rPr>
          <w:rFonts w:ascii="Times New Roman" w:eastAsia="Calibri" w:hAnsi="Times New Roman" w:cs="Times New Roman"/>
          <w:sz w:val="24"/>
          <w:szCs w:val="24"/>
        </w:rPr>
        <w:tab/>
        <w:t xml:space="preserve">Zaznaczyć należy </w:t>
      </w:r>
      <w:r w:rsidR="00BD560B">
        <w:rPr>
          <w:rFonts w:ascii="Times New Roman" w:eastAsia="Calibri" w:hAnsi="Times New Roman" w:cs="Times New Roman"/>
          <w:sz w:val="24"/>
          <w:szCs w:val="24"/>
        </w:rPr>
        <w:t>jednak</w:t>
      </w:r>
      <w:r w:rsidRPr="00A6583F">
        <w:rPr>
          <w:rFonts w:ascii="Times New Roman" w:eastAsia="Calibri" w:hAnsi="Times New Roman" w:cs="Times New Roman"/>
          <w:sz w:val="24"/>
          <w:szCs w:val="24"/>
        </w:rPr>
        <w:t>, że gdy wierzyciel już zaskarżył czynności upadłego, wówczas w sprawie takiej syndy</w:t>
      </w:r>
      <w:r w:rsidR="00BD560B">
        <w:rPr>
          <w:rFonts w:ascii="Times New Roman" w:eastAsia="Calibri" w:hAnsi="Times New Roman" w:cs="Times New Roman"/>
          <w:sz w:val="24"/>
          <w:szCs w:val="24"/>
        </w:rPr>
        <w:t>k, w oparciu o art. 133 ust. 1 PU</w:t>
      </w:r>
      <w:r w:rsidRPr="00A6583F">
        <w:rPr>
          <w:rFonts w:ascii="Times New Roman" w:eastAsia="Calibri" w:hAnsi="Times New Roman" w:cs="Times New Roman"/>
          <w:sz w:val="24"/>
          <w:szCs w:val="24"/>
        </w:rPr>
        <w:t xml:space="preserve">, może wejść na miejsce powoda. Z odzyskanej części majątku syndyk zwraca wierzycielowi poniesione przez niego </w:t>
      </w:r>
      <w:r w:rsidRPr="00A6583F">
        <w:rPr>
          <w:rFonts w:ascii="Times New Roman" w:eastAsia="Calibri" w:hAnsi="Times New Roman" w:cs="Times New Roman"/>
          <w:sz w:val="24"/>
          <w:szCs w:val="24"/>
        </w:rPr>
        <w:lastRenderedPageBreak/>
        <w:t>kos</w:t>
      </w:r>
      <w:r w:rsidR="00BD560B">
        <w:rPr>
          <w:rFonts w:ascii="Times New Roman" w:eastAsia="Calibri" w:hAnsi="Times New Roman" w:cs="Times New Roman"/>
          <w:sz w:val="24"/>
          <w:szCs w:val="24"/>
        </w:rPr>
        <w:t>zty procesu (art. 133 ust. 2 PU</w:t>
      </w:r>
      <w:r w:rsidRPr="00A6583F">
        <w:rPr>
          <w:rFonts w:ascii="Times New Roman" w:eastAsia="Calibri" w:hAnsi="Times New Roman" w:cs="Times New Roman"/>
          <w:sz w:val="24"/>
          <w:szCs w:val="24"/>
        </w:rPr>
        <w:t>), a w razie umorzenia postępowania upadłościowego lub jego uchylenia przed zakończeniem sprawy o uznanie czynności upadłego za bezskuteczną, sąd zawiadamia o toczącym się procesie wierzyciela, który może w ciągu dwóch tygodni przystąpić do sprawy w charakterze powod</w:t>
      </w:r>
      <w:r w:rsidR="00BD560B">
        <w:rPr>
          <w:rFonts w:ascii="Times New Roman" w:eastAsia="Calibri" w:hAnsi="Times New Roman" w:cs="Times New Roman"/>
          <w:sz w:val="24"/>
          <w:szCs w:val="24"/>
        </w:rPr>
        <w:t>a. Zgodnie z art. 133 ust. 4 PU</w:t>
      </w:r>
      <w:r w:rsidRPr="00A6583F">
        <w:rPr>
          <w:rFonts w:ascii="Times New Roman" w:eastAsia="Calibri" w:hAnsi="Times New Roman" w:cs="Times New Roman"/>
          <w:sz w:val="24"/>
          <w:szCs w:val="24"/>
        </w:rPr>
        <w:t xml:space="preserve">, wierzyciel, który otrzymał przed ogłoszeniem upadłości jakiekolwiek świadczenie na mocy wyroku uznającego czynność upadłego za bezskuteczną, nie ma obowiązku wydania otrzymanego świadczenia masie upadłości. </w:t>
      </w:r>
    </w:p>
    <w:sectPr w:rsidR="00793977" w:rsidRPr="00C77DE7" w:rsidSect="003C6E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96" w:rsidRDefault="00423F96" w:rsidP="00A6583F">
      <w:pPr>
        <w:spacing w:after="0" w:line="240" w:lineRule="auto"/>
      </w:pPr>
      <w:r>
        <w:separator/>
      </w:r>
    </w:p>
  </w:endnote>
  <w:endnote w:type="continuationSeparator" w:id="0">
    <w:p w:rsidR="00423F96" w:rsidRDefault="00423F96" w:rsidP="00A65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ZapfCalligrPL">
    <w:altName w:val="Times New Roman"/>
    <w:panose1 w:val="00000000000000000000"/>
    <w:charset w:val="02"/>
    <w:family w:val="decorative"/>
    <w:notTrueType/>
    <w:pitch w:val="variable"/>
    <w:sig w:usb0="00000003" w:usb1="00000000" w:usb2="00000000" w:usb3="00000000" w:csb0="00000001" w:csb1="00000000"/>
  </w:font>
  <w:font w:name="EFN Bureau">
    <w:altName w:val="Courier New"/>
    <w:panose1 w:val="00000000000000000000"/>
    <w:charset w:val="EE"/>
    <w:family w:val="auto"/>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902157"/>
      <w:docPartObj>
        <w:docPartGallery w:val="Page Numbers (Bottom of Page)"/>
        <w:docPartUnique/>
      </w:docPartObj>
    </w:sdtPr>
    <w:sdtContent>
      <w:p w:rsidR="00E82487" w:rsidRDefault="000046EB">
        <w:pPr>
          <w:pStyle w:val="Stopka"/>
          <w:jc w:val="right"/>
        </w:pPr>
        <w:fldSimple w:instr=" PAGE   \* MERGEFORMAT ">
          <w:r w:rsidR="00C868C0">
            <w:rPr>
              <w:noProof/>
            </w:rPr>
            <w:t>5</w:t>
          </w:r>
        </w:fldSimple>
      </w:p>
    </w:sdtContent>
  </w:sdt>
  <w:p w:rsidR="00E82487" w:rsidRDefault="00E8248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96" w:rsidRDefault="00423F96" w:rsidP="00A6583F">
      <w:pPr>
        <w:spacing w:after="0" w:line="240" w:lineRule="auto"/>
      </w:pPr>
      <w:r>
        <w:separator/>
      </w:r>
    </w:p>
  </w:footnote>
  <w:footnote w:type="continuationSeparator" w:id="0">
    <w:p w:rsidR="00423F96" w:rsidRDefault="00423F96" w:rsidP="00A658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CF7"/>
    <w:multiLevelType w:val="hybridMultilevel"/>
    <w:tmpl w:val="DF7C31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865110"/>
    <w:multiLevelType w:val="hybridMultilevel"/>
    <w:tmpl w:val="21425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C0900"/>
    <w:multiLevelType w:val="hybridMultilevel"/>
    <w:tmpl w:val="CF7EC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353D44"/>
    <w:multiLevelType w:val="hybridMultilevel"/>
    <w:tmpl w:val="292015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5B4462"/>
    <w:multiLevelType w:val="hybridMultilevel"/>
    <w:tmpl w:val="658E7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424945"/>
    <w:multiLevelType w:val="hybridMultilevel"/>
    <w:tmpl w:val="1EE21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B04DD8"/>
    <w:multiLevelType w:val="hybridMultilevel"/>
    <w:tmpl w:val="3A821782"/>
    <w:lvl w:ilvl="0" w:tplc="8F7E57D0">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21096"/>
    <w:multiLevelType w:val="hybridMultilevel"/>
    <w:tmpl w:val="2072F7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B8329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DD2EDE"/>
    <w:multiLevelType w:val="multilevel"/>
    <w:tmpl w:val="0D6E8C0C"/>
    <w:lvl w:ilvl="0">
      <w:start w:val="1"/>
      <w:numFmt w:val="decimal"/>
      <w:lvlText w:val="%1)"/>
      <w:lvlJc w:val="left"/>
      <w:pPr>
        <w:ind w:left="1070" w:hanging="360"/>
      </w:pPr>
    </w:lvl>
    <w:lvl w:ilvl="1">
      <w:start w:val="1"/>
      <w:numFmt w:val="lowerLetter"/>
      <w:lvlText w:val="%2)"/>
      <w:lvlJc w:val="left"/>
      <w:pPr>
        <w:ind w:left="1430" w:hanging="360"/>
      </w:pPr>
    </w:lvl>
    <w:lvl w:ilvl="2">
      <w:start w:val="1"/>
      <w:numFmt w:val="lowerLetter"/>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10">
    <w:nsid w:val="1C8B4821"/>
    <w:multiLevelType w:val="hybridMultilevel"/>
    <w:tmpl w:val="BEFA0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AD110F"/>
    <w:multiLevelType w:val="hybridMultilevel"/>
    <w:tmpl w:val="3FAA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43E0A"/>
    <w:multiLevelType w:val="multilevel"/>
    <w:tmpl w:val="4E20AAA0"/>
    <w:lvl w:ilvl="0">
      <w:start w:val="1"/>
      <w:numFmt w:val="decimal"/>
      <w:lvlText w:val="%1."/>
      <w:lvlJc w:val="left"/>
      <w:pPr>
        <w:ind w:left="778" w:hanging="360"/>
      </w:pPr>
    </w:lvl>
    <w:lvl w:ilvl="1">
      <w:start w:val="3"/>
      <w:numFmt w:val="decimal"/>
      <w:isLgl/>
      <w:lvlText w:val="%1.%2."/>
      <w:lvlJc w:val="left"/>
      <w:pPr>
        <w:ind w:left="778" w:hanging="36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13">
    <w:nsid w:val="23BD48BE"/>
    <w:multiLevelType w:val="hybridMultilevel"/>
    <w:tmpl w:val="D4044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783FB2"/>
    <w:multiLevelType w:val="hybridMultilevel"/>
    <w:tmpl w:val="563A63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A27121"/>
    <w:multiLevelType w:val="hybridMultilevel"/>
    <w:tmpl w:val="981E5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38702B"/>
    <w:multiLevelType w:val="hybridMultilevel"/>
    <w:tmpl w:val="D78CC3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37C70"/>
    <w:multiLevelType w:val="multilevel"/>
    <w:tmpl w:val="3A04FC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BEB23F4"/>
    <w:multiLevelType w:val="hybridMultilevel"/>
    <w:tmpl w:val="A9548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2305EB"/>
    <w:multiLevelType w:val="hybridMultilevel"/>
    <w:tmpl w:val="CA0EF5B8"/>
    <w:lvl w:ilvl="0" w:tplc="04150017">
      <w:start w:val="1"/>
      <w:numFmt w:val="lowerLetter"/>
      <w:lvlText w:val="%1)"/>
      <w:lvlJc w:val="left"/>
      <w:pPr>
        <w:ind w:left="1065" w:hanging="705"/>
      </w:pPr>
      <w:rPr>
        <w:rFonts w:hint="default"/>
      </w:rPr>
    </w:lvl>
    <w:lvl w:ilvl="1" w:tplc="22D6C3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B72C49"/>
    <w:multiLevelType w:val="hybridMultilevel"/>
    <w:tmpl w:val="D0FCF6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E57D7A"/>
    <w:multiLevelType w:val="hybridMultilevel"/>
    <w:tmpl w:val="EA569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35D402B"/>
    <w:multiLevelType w:val="hybridMultilevel"/>
    <w:tmpl w:val="D220B9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nsid w:val="3399384B"/>
    <w:multiLevelType w:val="hybridMultilevel"/>
    <w:tmpl w:val="BD6A1908"/>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346EC1"/>
    <w:multiLevelType w:val="hybridMultilevel"/>
    <w:tmpl w:val="4E569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526E3A"/>
    <w:multiLevelType w:val="hybridMultilevel"/>
    <w:tmpl w:val="A0EE4250"/>
    <w:lvl w:ilvl="0" w:tplc="0415000F">
      <w:start w:val="1"/>
      <w:numFmt w:val="decimal"/>
      <w:lvlText w:val="%1."/>
      <w:lvlJc w:val="left"/>
      <w:pPr>
        <w:ind w:left="1080" w:hanging="360"/>
      </w:pPr>
    </w:lvl>
    <w:lvl w:ilvl="1" w:tplc="4EDE1DB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4FB5128"/>
    <w:multiLevelType w:val="hybridMultilevel"/>
    <w:tmpl w:val="40C4254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8944429"/>
    <w:multiLevelType w:val="hybridMultilevel"/>
    <w:tmpl w:val="B6521E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9077AF8"/>
    <w:multiLevelType w:val="hybridMultilevel"/>
    <w:tmpl w:val="B6D46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3604FA"/>
    <w:multiLevelType w:val="hybridMultilevel"/>
    <w:tmpl w:val="46CEB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4D2F0F"/>
    <w:multiLevelType w:val="multilevel"/>
    <w:tmpl w:val="0D6E8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C4B5A62"/>
    <w:multiLevelType w:val="hybridMultilevel"/>
    <w:tmpl w:val="37225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BA2E3C"/>
    <w:multiLevelType w:val="hybridMultilevel"/>
    <w:tmpl w:val="A4BE909C"/>
    <w:lvl w:ilvl="0" w:tplc="BE345CB2">
      <w:start w:val="1"/>
      <w:numFmt w:val="decimal"/>
      <w:lvlText w:val="%1)"/>
      <w:lvlJc w:val="left"/>
      <w:pPr>
        <w:ind w:left="1085" w:hanging="375"/>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3">
    <w:nsid w:val="4BC22558"/>
    <w:multiLevelType w:val="hybridMultilevel"/>
    <w:tmpl w:val="9B080436"/>
    <w:lvl w:ilvl="0" w:tplc="0415000F">
      <w:start w:val="1"/>
      <w:numFmt w:val="decimal"/>
      <w:lvlText w:val="%1."/>
      <w:lvlJc w:val="left"/>
      <w:pPr>
        <w:ind w:left="720" w:hanging="360"/>
      </w:pPr>
    </w:lvl>
    <w:lvl w:ilvl="1" w:tplc="03D41D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E7397F"/>
    <w:multiLevelType w:val="hybridMultilevel"/>
    <w:tmpl w:val="644C1FB4"/>
    <w:lvl w:ilvl="0" w:tplc="0415000F">
      <w:start w:val="1"/>
      <w:numFmt w:val="decimal"/>
      <w:lvlText w:val="%1."/>
      <w:lvlJc w:val="left"/>
      <w:pPr>
        <w:ind w:left="720" w:hanging="360"/>
      </w:pPr>
    </w:lvl>
    <w:lvl w:ilvl="1" w:tplc="93D6E5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607B05"/>
    <w:multiLevelType w:val="hybridMultilevel"/>
    <w:tmpl w:val="8C9CD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56C3AC0"/>
    <w:multiLevelType w:val="hybridMultilevel"/>
    <w:tmpl w:val="3E2A2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4872AC"/>
    <w:multiLevelType w:val="multilevel"/>
    <w:tmpl w:val="40485B32"/>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7532F7C"/>
    <w:multiLevelType w:val="hybridMultilevel"/>
    <w:tmpl w:val="AF2C9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A10889"/>
    <w:multiLevelType w:val="hybridMultilevel"/>
    <w:tmpl w:val="FD66F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B2299D"/>
    <w:multiLevelType w:val="hybridMultilevel"/>
    <w:tmpl w:val="9F3E9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B80577"/>
    <w:multiLevelType w:val="hybridMultilevel"/>
    <w:tmpl w:val="B2223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09D12C9"/>
    <w:multiLevelType w:val="hybridMultilevel"/>
    <w:tmpl w:val="B352D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1D12FA3"/>
    <w:multiLevelType w:val="hybridMultilevel"/>
    <w:tmpl w:val="974840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4152AC2"/>
    <w:multiLevelType w:val="hybridMultilevel"/>
    <w:tmpl w:val="FF700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063927"/>
    <w:multiLevelType w:val="hybridMultilevel"/>
    <w:tmpl w:val="51E884FC"/>
    <w:lvl w:ilvl="0" w:tplc="1CA2CF1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CA6814"/>
    <w:multiLevelType w:val="hybridMultilevel"/>
    <w:tmpl w:val="48B26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6"/>
  </w:num>
  <w:num w:numId="4">
    <w:abstractNumId w:val="38"/>
  </w:num>
  <w:num w:numId="5">
    <w:abstractNumId w:val="19"/>
  </w:num>
  <w:num w:numId="6">
    <w:abstractNumId w:val="6"/>
  </w:num>
  <w:num w:numId="7">
    <w:abstractNumId w:val="25"/>
  </w:num>
  <w:num w:numId="8">
    <w:abstractNumId w:val="22"/>
  </w:num>
  <w:num w:numId="9">
    <w:abstractNumId w:val="35"/>
  </w:num>
  <w:num w:numId="10">
    <w:abstractNumId w:val="46"/>
  </w:num>
  <w:num w:numId="11">
    <w:abstractNumId w:val="33"/>
  </w:num>
  <w:num w:numId="12">
    <w:abstractNumId w:val="31"/>
  </w:num>
  <w:num w:numId="13">
    <w:abstractNumId w:val="34"/>
  </w:num>
  <w:num w:numId="14">
    <w:abstractNumId w:val="8"/>
  </w:num>
  <w:num w:numId="15">
    <w:abstractNumId w:val="12"/>
  </w:num>
  <w:num w:numId="16">
    <w:abstractNumId w:val="4"/>
  </w:num>
  <w:num w:numId="17">
    <w:abstractNumId w:val="10"/>
  </w:num>
  <w:num w:numId="18">
    <w:abstractNumId w:val="36"/>
  </w:num>
  <w:num w:numId="19">
    <w:abstractNumId w:val="30"/>
  </w:num>
  <w:num w:numId="20">
    <w:abstractNumId w:val="9"/>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3"/>
  </w:num>
  <w:num w:numId="24">
    <w:abstractNumId w:val="14"/>
  </w:num>
  <w:num w:numId="25">
    <w:abstractNumId w:val="7"/>
  </w:num>
  <w:num w:numId="26">
    <w:abstractNumId w:val="27"/>
  </w:num>
  <w:num w:numId="27">
    <w:abstractNumId w:val="44"/>
  </w:num>
  <w:num w:numId="28">
    <w:abstractNumId w:val="13"/>
  </w:num>
  <w:num w:numId="29">
    <w:abstractNumId w:val="2"/>
  </w:num>
  <w:num w:numId="30">
    <w:abstractNumId w:val="24"/>
  </w:num>
  <w:num w:numId="31">
    <w:abstractNumId w:val="41"/>
  </w:num>
  <w:num w:numId="32">
    <w:abstractNumId w:val="28"/>
  </w:num>
  <w:num w:numId="33">
    <w:abstractNumId w:val="45"/>
  </w:num>
  <w:num w:numId="34">
    <w:abstractNumId w:val="1"/>
  </w:num>
  <w:num w:numId="35">
    <w:abstractNumId w:val="32"/>
  </w:num>
  <w:num w:numId="36">
    <w:abstractNumId w:val="42"/>
  </w:num>
  <w:num w:numId="37">
    <w:abstractNumId w:val="20"/>
  </w:num>
  <w:num w:numId="38">
    <w:abstractNumId w:val="15"/>
  </w:num>
  <w:num w:numId="39">
    <w:abstractNumId w:val="18"/>
  </w:num>
  <w:num w:numId="40">
    <w:abstractNumId w:val="11"/>
  </w:num>
  <w:num w:numId="41">
    <w:abstractNumId w:val="39"/>
  </w:num>
  <w:num w:numId="42">
    <w:abstractNumId w:val="40"/>
  </w:num>
  <w:num w:numId="43">
    <w:abstractNumId w:val="26"/>
  </w:num>
  <w:num w:numId="44">
    <w:abstractNumId w:val="3"/>
  </w:num>
  <w:num w:numId="45">
    <w:abstractNumId w:val="0"/>
  </w:num>
  <w:num w:numId="46">
    <w:abstractNumId w:val="37"/>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A6583F"/>
    <w:rsid w:val="000046EB"/>
    <w:rsid w:val="001569D6"/>
    <w:rsid w:val="002347CD"/>
    <w:rsid w:val="00252485"/>
    <w:rsid w:val="00260A97"/>
    <w:rsid w:val="00276F54"/>
    <w:rsid w:val="003434C0"/>
    <w:rsid w:val="00394E51"/>
    <w:rsid w:val="003A1F5F"/>
    <w:rsid w:val="003C6E10"/>
    <w:rsid w:val="003D37E0"/>
    <w:rsid w:val="003D4F52"/>
    <w:rsid w:val="00423F96"/>
    <w:rsid w:val="0043447F"/>
    <w:rsid w:val="00447974"/>
    <w:rsid w:val="00457441"/>
    <w:rsid w:val="004D7980"/>
    <w:rsid w:val="005F64FD"/>
    <w:rsid w:val="0063628D"/>
    <w:rsid w:val="00644163"/>
    <w:rsid w:val="006B3D72"/>
    <w:rsid w:val="00781743"/>
    <w:rsid w:val="00793977"/>
    <w:rsid w:val="00795752"/>
    <w:rsid w:val="008E428C"/>
    <w:rsid w:val="00960899"/>
    <w:rsid w:val="00A145FB"/>
    <w:rsid w:val="00A6583F"/>
    <w:rsid w:val="00AA725A"/>
    <w:rsid w:val="00AC766B"/>
    <w:rsid w:val="00B027A1"/>
    <w:rsid w:val="00B72270"/>
    <w:rsid w:val="00BD560B"/>
    <w:rsid w:val="00C77DE7"/>
    <w:rsid w:val="00C868C0"/>
    <w:rsid w:val="00D51A5D"/>
    <w:rsid w:val="00DD0416"/>
    <w:rsid w:val="00DE689C"/>
    <w:rsid w:val="00E47310"/>
    <w:rsid w:val="00E667B9"/>
    <w:rsid w:val="00E82487"/>
    <w:rsid w:val="00F55AFD"/>
    <w:rsid w:val="00F77B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6E10"/>
  </w:style>
  <w:style w:type="paragraph" w:styleId="Nagwek1">
    <w:name w:val="heading 1"/>
    <w:basedOn w:val="Normalny"/>
    <w:next w:val="Normalny"/>
    <w:link w:val="Nagwek1Znak"/>
    <w:uiPriority w:val="9"/>
    <w:qFormat/>
    <w:rsid w:val="00A6583F"/>
    <w:pPr>
      <w:keepNext/>
      <w:spacing w:before="240" w:after="60" w:line="240" w:lineRule="auto"/>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583F"/>
    <w:rPr>
      <w:rFonts w:ascii="Cambria" w:eastAsia="Times New Roman" w:hAnsi="Cambria" w:cs="Times New Roman"/>
      <w:b/>
      <w:bCs/>
      <w:kern w:val="32"/>
      <w:sz w:val="32"/>
      <w:szCs w:val="32"/>
    </w:rPr>
  </w:style>
  <w:style w:type="numbering" w:customStyle="1" w:styleId="Bezlisty1">
    <w:name w:val="Bez listy1"/>
    <w:next w:val="Bezlisty"/>
    <w:uiPriority w:val="99"/>
    <w:semiHidden/>
    <w:unhideWhenUsed/>
    <w:rsid w:val="00A6583F"/>
  </w:style>
  <w:style w:type="character" w:styleId="Odwoaniedelikatne">
    <w:name w:val="Subtle Reference"/>
    <w:uiPriority w:val="31"/>
    <w:qFormat/>
    <w:rsid w:val="00A6583F"/>
    <w:rPr>
      <w:rFonts w:ascii="Times New Roman" w:hAnsi="Times New Roman"/>
      <w:smallCaps/>
      <w:color w:val="auto"/>
      <w:sz w:val="20"/>
    </w:rPr>
  </w:style>
  <w:style w:type="paragraph" w:styleId="Tekstprzypisudolnego">
    <w:name w:val="footnote text"/>
    <w:basedOn w:val="Normalny"/>
    <w:link w:val="TekstprzypisudolnegoZnak"/>
    <w:autoRedefine/>
    <w:uiPriority w:val="99"/>
    <w:unhideWhenUsed/>
    <w:rsid w:val="00A6583F"/>
    <w:pPr>
      <w:spacing w:after="0"/>
      <w:ind w:left="284" w:hanging="284"/>
      <w:jc w:val="both"/>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A6583F"/>
    <w:rPr>
      <w:rFonts w:ascii="Times New Roman" w:eastAsia="Calibri" w:hAnsi="Times New Roman" w:cs="Times New Roman"/>
      <w:sz w:val="20"/>
      <w:szCs w:val="20"/>
    </w:rPr>
  </w:style>
  <w:style w:type="character" w:styleId="Odwoanieprzypisudolnego">
    <w:name w:val="footnote reference"/>
    <w:basedOn w:val="Domylnaczcionkaakapitu"/>
    <w:rsid w:val="00A6583F"/>
    <w:rPr>
      <w:vertAlign w:val="superscript"/>
    </w:rPr>
  </w:style>
  <w:style w:type="paragraph" w:customStyle="1" w:styleId="Tekstprzypisudolnego0">
    <w:name w:val="*Tekst przypisu dolnego"/>
    <w:basedOn w:val="Normalny"/>
    <w:rsid w:val="00A6583F"/>
    <w:pPr>
      <w:widowControl w:val="0"/>
      <w:tabs>
        <w:tab w:val="left" w:pos="198"/>
      </w:tabs>
      <w:autoSpaceDE w:val="0"/>
      <w:autoSpaceDN w:val="0"/>
      <w:adjustRightInd w:val="0"/>
      <w:spacing w:after="0"/>
      <w:ind w:left="198" w:hanging="198"/>
      <w:jc w:val="both"/>
      <w:textAlignment w:val="center"/>
    </w:pPr>
    <w:rPr>
      <w:rFonts w:ascii="Times New Roman" w:eastAsia="Times New Roman" w:hAnsi="Times New Roman" w:cs="ZapfCalligrPL"/>
      <w:color w:val="000000"/>
      <w:szCs w:val="16"/>
      <w:lang w:eastAsia="pl-PL"/>
    </w:rPr>
  </w:style>
  <w:style w:type="paragraph" w:customStyle="1" w:styleId="BasicParagraph">
    <w:name w:val="[Basic Paragraph]"/>
    <w:basedOn w:val="Normalny"/>
    <w:uiPriority w:val="99"/>
    <w:rsid w:val="00A6583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oczek">
    <w:name w:val="*boczek"/>
    <w:basedOn w:val="Normalny"/>
    <w:rsid w:val="00A6583F"/>
    <w:pPr>
      <w:widowControl w:val="0"/>
      <w:tabs>
        <w:tab w:val="left" w:pos="284"/>
        <w:tab w:val="left" w:pos="567"/>
        <w:tab w:val="left" w:pos="851"/>
        <w:tab w:val="left" w:pos="1134"/>
        <w:tab w:val="left" w:pos="1418"/>
        <w:tab w:val="left" w:pos="1701"/>
      </w:tabs>
      <w:suppressAutoHyphens/>
      <w:autoSpaceDE w:val="0"/>
      <w:autoSpaceDN w:val="0"/>
      <w:adjustRightInd w:val="0"/>
      <w:spacing w:after="0" w:line="256" w:lineRule="atLeast"/>
      <w:jc w:val="right"/>
      <w:textAlignment w:val="center"/>
    </w:pPr>
    <w:rPr>
      <w:rFonts w:ascii="EFN Bureau" w:eastAsia="Times New Roman" w:hAnsi="EFN Bureau" w:cs="EFN Bureau"/>
      <w:b/>
      <w:bCs/>
      <w:color w:val="000000"/>
      <w:sz w:val="20"/>
      <w:szCs w:val="20"/>
    </w:rPr>
  </w:style>
  <w:style w:type="paragraph" w:styleId="Tekstkomentarza">
    <w:name w:val="annotation text"/>
    <w:basedOn w:val="Normalny"/>
    <w:link w:val="TekstkomentarzaZnak"/>
    <w:uiPriority w:val="99"/>
    <w:semiHidden/>
    <w:rsid w:val="00A6583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0"/>
      <w:szCs w:val="20"/>
    </w:rPr>
  </w:style>
  <w:style w:type="character" w:customStyle="1" w:styleId="TekstkomentarzaZnak">
    <w:name w:val="Tekst komentarza Znak"/>
    <w:basedOn w:val="Domylnaczcionkaakapitu"/>
    <w:link w:val="Tekstkomentarza"/>
    <w:uiPriority w:val="99"/>
    <w:semiHidden/>
    <w:rsid w:val="00A6583F"/>
    <w:rPr>
      <w:rFonts w:ascii="Times New Roman" w:eastAsia="Times New Roman" w:hAnsi="Times New Roman" w:cs="Times New Roman"/>
      <w:color w:val="000000"/>
      <w:sz w:val="20"/>
      <w:szCs w:val="20"/>
    </w:rPr>
  </w:style>
  <w:style w:type="paragraph" w:customStyle="1" w:styleId="tekstglowny">
    <w:name w:val="_tekst glowny"/>
    <w:basedOn w:val="Normalny"/>
    <w:rsid w:val="00A6583F"/>
    <w:pPr>
      <w:widowControl w:val="0"/>
      <w:autoSpaceDE w:val="0"/>
      <w:autoSpaceDN w:val="0"/>
      <w:adjustRightInd w:val="0"/>
      <w:spacing w:after="0" w:line="256" w:lineRule="atLeast"/>
      <w:ind w:firstLine="454"/>
      <w:jc w:val="both"/>
      <w:textAlignment w:val="center"/>
    </w:pPr>
    <w:rPr>
      <w:rFonts w:ascii="ZapfCalligrPL" w:eastAsia="Times New Roman" w:hAnsi="ZapfCalligrPL" w:cs="ZapfCalligrPL"/>
      <w:color w:val="000000"/>
      <w:w w:val="90"/>
      <w:sz w:val="21"/>
      <w:szCs w:val="21"/>
    </w:rPr>
  </w:style>
  <w:style w:type="paragraph" w:customStyle="1" w:styleId="r311">
    <w:name w:val="*r3_1.1."/>
    <w:basedOn w:val="Normalny"/>
    <w:rsid w:val="00A6583F"/>
    <w:pPr>
      <w:widowControl w:val="0"/>
      <w:suppressAutoHyphens/>
      <w:autoSpaceDE w:val="0"/>
      <w:autoSpaceDN w:val="0"/>
      <w:adjustRightInd w:val="0"/>
      <w:spacing w:before="397" w:after="255" w:line="288" w:lineRule="auto"/>
      <w:jc w:val="center"/>
      <w:textAlignment w:val="center"/>
    </w:pPr>
    <w:rPr>
      <w:rFonts w:ascii="EFN Bureau" w:eastAsia="Times New Roman" w:hAnsi="EFN Bureau" w:cs="EFN Bureau"/>
      <w:b/>
      <w:bCs/>
      <w:color w:val="000000"/>
      <w:sz w:val="24"/>
      <w:szCs w:val="24"/>
    </w:rPr>
  </w:style>
  <w:style w:type="paragraph" w:customStyle="1" w:styleId="r21">
    <w:name w:val="*r2_1."/>
    <w:basedOn w:val="Normalny"/>
    <w:uiPriority w:val="99"/>
    <w:rsid w:val="00A6583F"/>
    <w:pPr>
      <w:widowControl w:val="0"/>
      <w:suppressAutoHyphens/>
      <w:autoSpaceDE w:val="0"/>
      <w:autoSpaceDN w:val="0"/>
      <w:adjustRightInd w:val="0"/>
      <w:spacing w:before="454" w:after="283" w:line="288" w:lineRule="auto"/>
      <w:jc w:val="center"/>
      <w:textAlignment w:val="center"/>
    </w:pPr>
    <w:rPr>
      <w:rFonts w:ascii="EFN Bureau" w:eastAsia="Times New Roman" w:hAnsi="EFN Bureau" w:cs="EFN Bureau"/>
      <w:b/>
      <w:bCs/>
      <w:color w:val="000000"/>
      <w:sz w:val="27"/>
      <w:szCs w:val="27"/>
    </w:rPr>
  </w:style>
  <w:style w:type="paragraph" w:customStyle="1" w:styleId="lista1-wyliczeniowa">
    <w:name w:val="*lista1-wyliczeniowa"/>
    <w:basedOn w:val="Normalny"/>
    <w:rsid w:val="00A6583F"/>
    <w:pPr>
      <w:widowControl w:val="0"/>
      <w:tabs>
        <w:tab w:val="left" w:pos="454"/>
        <w:tab w:val="left" w:pos="567"/>
      </w:tabs>
      <w:autoSpaceDE w:val="0"/>
      <w:autoSpaceDN w:val="0"/>
      <w:adjustRightInd w:val="0"/>
      <w:spacing w:after="0" w:line="288" w:lineRule="auto"/>
      <w:ind w:left="454" w:hanging="227"/>
      <w:jc w:val="both"/>
      <w:textAlignment w:val="center"/>
    </w:pPr>
    <w:rPr>
      <w:rFonts w:ascii="ZapfCalligrPL" w:eastAsia="Times New Roman" w:hAnsi="ZapfCalligrPL" w:cs="ZapfCalligrPL"/>
      <w:color w:val="000000"/>
      <w:w w:val="90"/>
      <w:sz w:val="21"/>
      <w:szCs w:val="21"/>
    </w:rPr>
  </w:style>
  <w:style w:type="paragraph" w:styleId="Tekstpodstawowy">
    <w:name w:val="Body Text"/>
    <w:basedOn w:val="Normalny"/>
    <w:link w:val="TekstpodstawowyZnak"/>
    <w:rsid w:val="00A6583F"/>
    <w:pPr>
      <w:spacing w:after="0" w:line="36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A6583F"/>
    <w:rPr>
      <w:rFonts w:ascii="Times New Roman" w:eastAsia="Times New Roman" w:hAnsi="Times New Roman" w:cs="Times New Roman"/>
      <w:sz w:val="28"/>
      <w:szCs w:val="20"/>
      <w:lang w:eastAsia="pl-PL"/>
    </w:rPr>
  </w:style>
  <w:style w:type="paragraph" w:styleId="Tytu">
    <w:name w:val="Title"/>
    <w:basedOn w:val="Normalny"/>
    <w:next w:val="Normalny"/>
    <w:link w:val="TytuZnak"/>
    <w:uiPriority w:val="10"/>
    <w:qFormat/>
    <w:rsid w:val="00A6583F"/>
    <w:pPr>
      <w:spacing w:before="240" w:after="60"/>
      <w:ind w:left="709"/>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A6583F"/>
    <w:rPr>
      <w:rFonts w:ascii="Cambria" w:eastAsia="Times New Roman" w:hAnsi="Cambria" w:cs="Times New Roman"/>
      <w:b/>
      <w:bCs/>
      <w:kern w:val="28"/>
      <w:sz w:val="32"/>
      <w:szCs w:val="32"/>
    </w:rPr>
  </w:style>
  <w:style w:type="character" w:customStyle="1" w:styleId="TekstprzypisukocowegoZnak">
    <w:name w:val="Tekst przypisu końcowego Znak"/>
    <w:basedOn w:val="Domylnaczcionkaakapitu"/>
    <w:link w:val="Tekstprzypisukocowego"/>
    <w:uiPriority w:val="99"/>
    <w:semiHidden/>
    <w:rsid w:val="00A6583F"/>
  </w:style>
  <w:style w:type="paragraph" w:styleId="Tekstprzypisukocowego">
    <w:name w:val="endnote text"/>
    <w:basedOn w:val="Normalny"/>
    <w:link w:val="TekstprzypisukocowegoZnak"/>
    <w:uiPriority w:val="99"/>
    <w:semiHidden/>
    <w:unhideWhenUsed/>
    <w:rsid w:val="00A6583F"/>
    <w:pPr>
      <w:spacing w:after="0"/>
      <w:ind w:left="709"/>
      <w:jc w:val="both"/>
    </w:pPr>
  </w:style>
  <w:style w:type="character" w:customStyle="1" w:styleId="TekstprzypisukocowegoZnak1">
    <w:name w:val="Tekst przypisu końcowego Znak1"/>
    <w:basedOn w:val="Domylnaczcionkaakapitu"/>
    <w:link w:val="Tekstprzypisukocowego"/>
    <w:uiPriority w:val="99"/>
    <w:semiHidden/>
    <w:rsid w:val="00A6583F"/>
    <w:rPr>
      <w:sz w:val="20"/>
      <w:szCs w:val="20"/>
    </w:rPr>
  </w:style>
  <w:style w:type="character" w:customStyle="1" w:styleId="NagwekZnak">
    <w:name w:val="Nagłówek Znak"/>
    <w:basedOn w:val="Domylnaczcionkaakapitu"/>
    <w:link w:val="Nagwek"/>
    <w:uiPriority w:val="99"/>
    <w:semiHidden/>
    <w:rsid w:val="00A6583F"/>
    <w:rPr>
      <w:sz w:val="24"/>
      <w:szCs w:val="24"/>
    </w:rPr>
  </w:style>
  <w:style w:type="paragraph" w:styleId="Nagwek">
    <w:name w:val="header"/>
    <w:basedOn w:val="Normalny"/>
    <w:link w:val="NagwekZnak"/>
    <w:uiPriority w:val="99"/>
    <w:semiHidden/>
    <w:unhideWhenUsed/>
    <w:rsid w:val="00A6583F"/>
    <w:pPr>
      <w:tabs>
        <w:tab w:val="center" w:pos="4536"/>
        <w:tab w:val="right" w:pos="9072"/>
      </w:tabs>
      <w:spacing w:after="0"/>
      <w:ind w:left="709"/>
      <w:jc w:val="both"/>
    </w:pPr>
    <w:rPr>
      <w:sz w:val="24"/>
      <w:szCs w:val="24"/>
    </w:rPr>
  </w:style>
  <w:style w:type="character" w:customStyle="1" w:styleId="NagwekZnak1">
    <w:name w:val="Nagłówek Znak1"/>
    <w:basedOn w:val="Domylnaczcionkaakapitu"/>
    <w:link w:val="Nagwek"/>
    <w:uiPriority w:val="99"/>
    <w:semiHidden/>
    <w:rsid w:val="00A6583F"/>
  </w:style>
  <w:style w:type="paragraph" w:styleId="Stopka">
    <w:name w:val="footer"/>
    <w:basedOn w:val="Normalny"/>
    <w:link w:val="StopkaZnak"/>
    <w:uiPriority w:val="99"/>
    <w:unhideWhenUsed/>
    <w:rsid w:val="00A6583F"/>
    <w:pPr>
      <w:tabs>
        <w:tab w:val="center" w:pos="4536"/>
        <w:tab w:val="right" w:pos="9072"/>
      </w:tabs>
      <w:spacing w:after="0"/>
      <w:ind w:left="709"/>
      <w:jc w:val="both"/>
    </w:pPr>
    <w:rPr>
      <w:rFonts w:ascii="Times New Roman" w:eastAsia="Calibri" w:hAnsi="Times New Roman" w:cs="Times New Roman"/>
      <w:sz w:val="24"/>
      <w:szCs w:val="24"/>
    </w:rPr>
  </w:style>
  <w:style w:type="character" w:customStyle="1" w:styleId="StopkaZnak">
    <w:name w:val="Stopka Znak"/>
    <w:basedOn w:val="Domylnaczcionkaakapitu"/>
    <w:link w:val="Stopka"/>
    <w:uiPriority w:val="99"/>
    <w:rsid w:val="00A6583F"/>
    <w:rPr>
      <w:rFonts w:ascii="Times New Roman" w:eastAsia="Calibri" w:hAnsi="Times New Roman" w:cs="Times New Roman"/>
      <w:sz w:val="24"/>
      <w:szCs w:val="24"/>
    </w:rPr>
  </w:style>
  <w:style w:type="paragraph" w:customStyle="1" w:styleId="lista2-wyliczeniowa">
    <w:name w:val="*lista2-wyliczeniowa"/>
    <w:basedOn w:val="Normalny"/>
    <w:rsid w:val="00A6583F"/>
    <w:pPr>
      <w:widowControl w:val="0"/>
      <w:tabs>
        <w:tab w:val="left" w:pos="680"/>
      </w:tabs>
      <w:autoSpaceDE w:val="0"/>
      <w:autoSpaceDN w:val="0"/>
      <w:adjustRightInd w:val="0"/>
      <w:spacing w:after="0" w:line="288" w:lineRule="auto"/>
      <w:ind w:left="680" w:hanging="227"/>
      <w:jc w:val="both"/>
      <w:textAlignment w:val="center"/>
    </w:pPr>
    <w:rPr>
      <w:rFonts w:ascii="ZapfCalligrPL" w:eastAsia="Times New Roman" w:hAnsi="ZapfCalligrPL" w:cs="ZapfCalligrPL"/>
      <w:color w:val="000000"/>
      <w:w w:val="90"/>
      <w:sz w:val="21"/>
      <w:szCs w:val="21"/>
      <w:lang w:eastAsia="pl-PL"/>
    </w:rPr>
  </w:style>
  <w:style w:type="character" w:styleId="Odwoanieprzypisukocowego">
    <w:name w:val="endnote reference"/>
    <w:basedOn w:val="Domylnaczcionkaakapitu"/>
    <w:uiPriority w:val="99"/>
    <w:semiHidden/>
    <w:unhideWhenUsed/>
    <w:rsid w:val="00A6583F"/>
    <w:rPr>
      <w:vertAlign w:val="superscript"/>
    </w:rPr>
  </w:style>
  <w:style w:type="paragraph" w:styleId="Nagwekspisutreci">
    <w:name w:val="TOC Heading"/>
    <w:basedOn w:val="Nagwek1"/>
    <w:next w:val="Normalny"/>
    <w:uiPriority w:val="39"/>
    <w:semiHidden/>
    <w:unhideWhenUsed/>
    <w:qFormat/>
    <w:rsid w:val="00A6583F"/>
    <w:pPr>
      <w:keepLines/>
      <w:spacing w:before="480" w:after="0" w:line="276" w:lineRule="auto"/>
      <w:outlineLvl w:val="9"/>
    </w:pPr>
    <w:rPr>
      <w:color w:val="365F91"/>
      <w:kern w:val="0"/>
      <w:sz w:val="28"/>
      <w:szCs w:val="28"/>
    </w:rPr>
  </w:style>
  <w:style w:type="paragraph" w:styleId="Spistreci2">
    <w:name w:val="toc 2"/>
    <w:basedOn w:val="Normalny"/>
    <w:next w:val="Normalny"/>
    <w:autoRedefine/>
    <w:uiPriority w:val="39"/>
    <w:semiHidden/>
    <w:unhideWhenUsed/>
    <w:qFormat/>
    <w:rsid w:val="00A6583F"/>
    <w:pPr>
      <w:spacing w:after="100"/>
      <w:ind w:left="220"/>
    </w:pPr>
    <w:rPr>
      <w:rFonts w:ascii="Calibri" w:eastAsia="Times New Roman" w:hAnsi="Calibri" w:cs="Times New Roman"/>
    </w:rPr>
  </w:style>
  <w:style w:type="paragraph" w:styleId="Spistreci1">
    <w:name w:val="toc 1"/>
    <w:basedOn w:val="Normalny"/>
    <w:next w:val="Normalny"/>
    <w:autoRedefine/>
    <w:uiPriority w:val="39"/>
    <w:semiHidden/>
    <w:unhideWhenUsed/>
    <w:qFormat/>
    <w:rsid w:val="00A6583F"/>
    <w:pPr>
      <w:spacing w:after="100"/>
    </w:pPr>
    <w:rPr>
      <w:rFonts w:ascii="Calibri" w:eastAsia="Times New Roman" w:hAnsi="Calibri" w:cs="Times New Roman"/>
    </w:rPr>
  </w:style>
  <w:style w:type="paragraph" w:styleId="Spistreci3">
    <w:name w:val="toc 3"/>
    <w:basedOn w:val="Normalny"/>
    <w:next w:val="Normalny"/>
    <w:autoRedefine/>
    <w:uiPriority w:val="39"/>
    <w:semiHidden/>
    <w:unhideWhenUsed/>
    <w:qFormat/>
    <w:rsid w:val="00A6583F"/>
    <w:pPr>
      <w:spacing w:after="100"/>
      <w:ind w:left="440"/>
    </w:pPr>
    <w:rPr>
      <w:rFonts w:ascii="Calibri" w:eastAsia="Times New Roman" w:hAnsi="Calibri" w:cs="Times New Roman"/>
    </w:rPr>
  </w:style>
  <w:style w:type="character" w:styleId="Hipercze">
    <w:name w:val="Hyperlink"/>
    <w:basedOn w:val="Domylnaczcionkaakapitu"/>
    <w:uiPriority w:val="99"/>
    <w:unhideWhenUsed/>
    <w:rsid w:val="00A6583F"/>
    <w:rPr>
      <w:color w:val="0000FF"/>
      <w:u w:val="single"/>
    </w:rPr>
  </w:style>
  <w:style w:type="character" w:styleId="Odwoaniedokomentarza">
    <w:name w:val="annotation reference"/>
    <w:basedOn w:val="Domylnaczcionkaakapitu"/>
    <w:uiPriority w:val="99"/>
    <w:semiHidden/>
    <w:unhideWhenUsed/>
    <w:rsid w:val="00A6583F"/>
    <w:rPr>
      <w:sz w:val="16"/>
      <w:szCs w:val="16"/>
    </w:rPr>
  </w:style>
  <w:style w:type="paragraph" w:styleId="Tematkomentarza">
    <w:name w:val="annotation subject"/>
    <w:basedOn w:val="Tekstkomentarza"/>
    <w:next w:val="Tekstkomentarza"/>
    <w:link w:val="TematkomentarzaZnak"/>
    <w:uiPriority w:val="99"/>
    <w:semiHidden/>
    <w:unhideWhenUsed/>
    <w:rsid w:val="00A6583F"/>
    <w:pPr>
      <w:widowControl/>
      <w:autoSpaceDE/>
      <w:autoSpaceDN/>
      <w:adjustRightInd/>
      <w:spacing w:line="240" w:lineRule="auto"/>
      <w:textAlignment w:val="auto"/>
    </w:pPr>
    <w:rPr>
      <w:rFonts w:eastAsia="Calibri"/>
      <w:b/>
      <w:bCs/>
      <w:color w:val="auto"/>
    </w:rPr>
  </w:style>
  <w:style w:type="character" w:customStyle="1" w:styleId="TematkomentarzaZnak">
    <w:name w:val="Temat komentarza Znak"/>
    <w:basedOn w:val="TekstkomentarzaZnak"/>
    <w:link w:val="Tematkomentarza"/>
    <w:uiPriority w:val="99"/>
    <w:semiHidden/>
    <w:rsid w:val="00A6583F"/>
    <w:rPr>
      <w:rFonts w:eastAsia="Calibri"/>
      <w:b/>
      <w:bCs/>
    </w:rPr>
  </w:style>
  <w:style w:type="paragraph" w:styleId="Tekstdymka">
    <w:name w:val="Balloon Text"/>
    <w:basedOn w:val="Normalny"/>
    <w:link w:val="TekstdymkaZnak"/>
    <w:uiPriority w:val="99"/>
    <w:semiHidden/>
    <w:unhideWhenUsed/>
    <w:rsid w:val="00A6583F"/>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A6583F"/>
    <w:rPr>
      <w:rFonts w:ascii="Tahoma" w:eastAsia="Calibri" w:hAnsi="Tahoma" w:cs="Tahoma"/>
      <w:sz w:val="16"/>
      <w:szCs w:val="16"/>
    </w:rPr>
  </w:style>
  <w:style w:type="paragraph" w:styleId="Akapitzlist">
    <w:name w:val="List Paragraph"/>
    <w:basedOn w:val="Normalny"/>
    <w:uiPriority w:val="34"/>
    <w:qFormat/>
    <w:rsid w:val="00F77B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17</Pages>
  <Words>5814</Words>
  <Characters>34890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12</cp:revision>
  <cp:lastPrinted>2020-11-21T22:18:00Z</cp:lastPrinted>
  <dcterms:created xsi:type="dcterms:W3CDTF">2020-11-12T12:35:00Z</dcterms:created>
  <dcterms:modified xsi:type="dcterms:W3CDTF">2020-11-23T11:45:00Z</dcterms:modified>
</cp:coreProperties>
</file>