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76" w:rsidRPr="00113F07" w:rsidRDefault="00770D76" w:rsidP="00796F23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D76" w:rsidRPr="00113F07" w:rsidRDefault="00770D76" w:rsidP="00796F23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D76" w:rsidRPr="00113F07" w:rsidRDefault="00770D76" w:rsidP="00796F23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3F07">
        <w:rPr>
          <w:rFonts w:ascii="Times New Roman" w:eastAsia="Calibri" w:hAnsi="Times New Roman" w:cs="Times New Roman"/>
          <w:b/>
          <w:sz w:val="24"/>
          <w:szCs w:val="24"/>
        </w:rPr>
        <w:t xml:space="preserve">ZAKRES REGULACJI USTAWY PRAWO UPADŁOŚCIOWE I RODZAJE POSTĘPOWAŃ UPADŁOŚCIOWYCH. </w:t>
      </w:r>
    </w:p>
    <w:p w:rsidR="00770D76" w:rsidRPr="00113F07" w:rsidRDefault="00770D76" w:rsidP="00796F23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D76" w:rsidRPr="00113F07" w:rsidRDefault="00770D76" w:rsidP="00796F23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44A" w:rsidRPr="00113F07" w:rsidRDefault="00770D76" w:rsidP="00796F2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F07">
        <w:rPr>
          <w:rFonts w:ascii="Times New Roman" w:eastAsia="Calibri" w:hAnsi="Times New Roman" w:cs="Times New Roman"/>
          <w:b/>
          <w:sz w:val="24"/>
          <w:szCs w:val="24"/>
        </w:rPr>
        <w:t>Zakres regulacji PU</w:t>
      </w:r>
    </w:p>
    <w:p w:rsidR="00770D76" w:rsidRPr="00113F07" w:rsidRDefault="00770D76" w:rsidP="00796F23">
      <w:pPr>
        <w:pStyle w:val="Akapitzlist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CAD" w:rsidRPr="00113F07" w:rsidRDefault="0056744A" w:rsidP="00D3068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ab/>
        <w:t xml:space="preserve">Zakres przedmiotowy </w:t>
      </w:r>
      <w:r w:rsidR="00D3068C">
        <w:rPr>
          <w:rFonts w:ascii="Times New Roman" w:eastAsia="Calibri" w:hAnsi="Times New Roman" w:cs="Times New Roman"/>
          <w:sz w:val="24"/>
          <w:szCs w:val="24"/>
        </w:rPr>
        <w:t>ustawy</w:t>
      </w:r>
      <w:r w:rsidR="00113F07">
        <w:rPr>
          <w:rFonts w:ascii="Times New Roman" w:eastAsia="Calibri" w:hAnsi="Times New Roman" w:cs="Times New Roman"/>
          <w:sz w:val="24"/>
          <w:szCs w:val="24"/>
        </w:rPr>
        <w:t xml:space="preserve"> Prawo upadłościowe</w:t>
      </w:r>
      <w:r w:rsidR="000D3C9F" w:rsidRPr="00113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F07">
        <w:rPr>
          <w:rFonts w:ascii="Times New Roman" w:eastAsia="Calibri" w:hAnsi="Times New Roman" w:cs="Times New Roman"/>
          <w:sz w:val="24"/>
          <w:szCs w:val="24"/>
        </w:rPr>
        <w:t>wyznacza art. 1</w:t>
      </w:r>
      <w:r w:rsidR="00113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68C">
        <w:rPr>
          <w:rFonts w:ascii="Times New Roman" w:eastAsia="Calibri" w:hAnsi="Times New Roman" w:cs="Times New Roman"/>
          <w:sz w:val="24"/>
          <w:szCs w:val="24"/>
        </w:rPr>
        <w:t xml:space="preserve">ust 1 </w:t>
      </w:r>
      <w:r w:rsidR="00113F07">
        <w:rPr>
          <w:rFonts w:ascii="Times New Roman" w:eastAsia="Calibri" w:hAnsi="Times New Roman" w:cs="Times New Roman"/>
          <w:sz w:val="24"/>
          <w:szCs w:val="24"/>
        </w:rPr>
        <w:t>ustawy</w:t>
      </w: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, zgodnie z </w:t>
      </w:r>
      <w:r w:rsidR="00762CAD" w:rsidRPr="00113F07">
        <w:rPr>
          <w:rFonts w:ascii="Times New Roman" w:eastAsia="Calibri" w:hAnsi="Times New Roman" w:cs="Times New Roman"/>
          <w:sz w:val="24"/>
          <w:szCs w:val="24"/>
        </w:rPr>
        <w:t xml:space="preserve">którym </w:t>
      </w:r>
      <w:r w:rsidR="000D3C9F" w:rsidRPr="00113F07">
        <w:rPr>
          <w:rFonts w:ascii="Times New Roman" w:eastAsia="Calibri" w:hAnsi="Times New Roman" w:cs="Times New Roman"/>
          <w:sz w:val="24"/>
          <w:szCs w:val="24"/>
        </w:rPr>
        <w:t>reguluje</w:t>
      </w:r>
      <w:r w:rsidR="00113F07">
        <w:rPr>
          <w:rFonts w:ascii="Times New Roman" w:eastAsia="Calibri" w:hAnsi="Times New Roman" w:cs="Times New Roman"/>
          <w:sz w:val="24"/>
          <w:szCs w:val="24"/>
        </w:rPr>
        <w:t xml:space="preserve"> ona</w:t>
      </w:r>
      <w:r w:rsidR="00762CAD" w:rsidRPr="00113F0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2CAD" w:rsidRPr="00113F07" w:rsidRDefault="00762CAD" w:rsidP="00796F2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 zasady wspólnego dochodzenia roszczeń wierzycieli od niewypłacalnych dłużników będących przedsiębiorcami,</w:t>
      </w:r>
    </w:p>
    <w:p w:rsidR="00762CAD" w:rsidRPr="00113F07" w:rsidRDefault="00762CAD" w:rsidP="00796F2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>zasady dochodzenia roszczeń od niewypłacalnych dłużników będących osobami fizycznymi nieprowadzącymi działalności gospodarczej (tzw. upadłość konsumencka),</w:t>
      </w:r>
    </w:p>
    <w:p w:rsidR="00762CAD" w:rsidRPr="00113F07" w:rsidRDefault="00762CAD" w:rsidP="00796F2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>skutki ogłoszenie upadłości,</w:t>
      </w:r>
    </w:p>
    <w:p w:rsidR="00762CAD" w:rsidRPr="00113F07" w:rsidRDefault="00762CAD" w:rsidP="00796F2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>zasady umarzania zobowiązań upadłego będącego osobą fizyczną.</w:t>
      </w:r>
    </w:p>
    <w:p w:rsidR="000D3C9F" w:rsidRDefault="000D3C9F" w:rsidP="00113F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68C" w:rsidRDefault="00D3068C" w:rsidP="00D3068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Przepis ten wyznacza ponadto częściowo zakres podmiotowy ustawy, wskazując że reguluje ona postępowania prowadzone wobec niewypłacalnych:</w:t>
      </w:r>
    </w:p>
    <w:p w:rsidR="00D3068C" w:rsidRPr="00D3068C" w:rsidRDefault="00D3068C" w:rsidP="00D3068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68C">
        <w:rPr>
          <w:rFonts w:ascii="Times New Roman" w:eastAsia="Calibri" w:hAnsi="Times New Roman" w:cs="Times New Roman"/>
          <w:sz w:val="24"/>
          <w:szCs w:val="24"/>
        </w:rPr>
        <w:t>przedsiębiorców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(w rozumieniu Kodeksu Cywilnego </w:t>
      </w:r>
      <w:r w:rsidR="00E608F8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8F8">
        <w:rPr>
          <w:rFonts w:ascii="Times New Roman" w:eastAsia="Calibri" w:hAnsi="Times New Roman" w:cs="Times New Roman"/>
          <w:sz w:val="24"/>
          <w:szCs w:val="24"/>
        </w:rPr>
        <w:t>art. 43</w:t>
      </w:r>
      <w:r w:rsidR="00E608F8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E608F8">
        <w:rPr>
          <w:rFonts w:ascii="Times New Roman" w:eastAsia="Calibri" w:hAnsi="Times New Roman" w:cs="Times New Roman"/>
          <w:sz w:val="24"/>
          <w:szCs w:val="24"/>
        </w:rPr>
        <w:t xml:space="preserve"> - p</w:t>
      </w:r>
      <w:r w:rsidR="00E608F8" w:rsidRPr="00E608F8">
        <w:rPr>
          <w:rFonts w:ascii="Times New Roman" w:eastAsia="Calibri" w:hAnsi="Times New Roman" w:cs="Times New Roman"/>
          <w:sz w:val="24"/>
          <w:szCs w:val="24"/>
        </w:rPr>
        <w:t>rzedsiębiorcą jest osoba fizyczna, osoba prawna i jednostka organiz</w:t>
      </w:r>
      <w:r w:rsidR="00E608F8">
        <w:rPr>
          <w:rFonts w:ascii="Times New Roman" w:eastAsia="Calibri" w:hAnsi="Times New Roman" w:cs="Times New Roman"/>
          <w:sz w:val="24"/>
          <w:szCs w:val="24"/>
        </w:rPr>
        <w:t>acyjna, o której mowa w art. 33</w:t>
      </w:r>
      <w:r w:rsidR="00E608F8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E608F8" w:rsidRPr="00E608F8">
        <w:rPr>
          <w:rFonts w:ascii="Times New Roman" w:eastAsia="Calibri" w:hAnsi="Times New Roman" w:cs="Times New Roman"/>
          <w:sz w:val="24"/>
          <w:szCs w:val="24"/>
        </w:rPr>
        <w:t xml:space="preserve"> § 1, prowadząca we własnym imieniu działalność gospodarczą lub zawodową</w:t>
      </w:r>
      <w:r w:rsidR="00E608F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3068C" w:rsidRPr="00D3068C" w:rsidRDefault="00D3068C" w:rsidP="00D3068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68C">
        <w:rPr>
          <w:rFonts w:ascii="Times New Roman" w:eastAsia="Calibri" w:hAnsi="Times New Roman" w:cs="Times New Roman"/>
          <w:sz w:val="24"/>
          <w:szCs w:val="24"/>
        </w:rPr>
        <w:t>osób fizycznych nieprowadzących działalności gospodarczej</w:t>
      </w:r>
    </w:p>
    <w:p w:rsidR="00D3068C" w:rsidRDefault="00D3068C" w:rsidP="00113F07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113F07">
        <w:rPr>
          <w:rFonts w:ascii="Times New Roman" w:eastAsia="Calibri" w:hAnsi="Times New Roman" w:cs="Times New Roman"/>
          <w:sz w:val="24"/>
          <w:szCs w:val="24"/>
        </w:rPr>
        <w:t>a mocy art. 1 ust. 2 PU</w:t>
      </w:r>
      <w:r w:rsidR="0056744A" w:rsidRPr="00113F07">
        <w:rPr>
          <w:rFonts w:ascii="Times New Roman" w:eastAsia="Calibri" w:hAnsi="Times New Roman" w:cs="Times New Roman"/>
          <w:sz w:val="24"/>
          <w:szCs w:val="24"/>
        </w:rPr>
        <w:t xml:space="preserve"> jej przepisy stosuje 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także </w:t>
      </w:r>
      <w:r w:rsidR="0056744A" w:rsidRPr="00113F07">
        <w:rPr>
          <w:rFonts w:ascii="Times New Roman" w:eastAsia="Calibri" w:hAnsi="Times New Roman" w:cs="Times New Roman"/>
          <w:sz w:val="24"/>
          <w:szCs w:val="24"/>
        </w:rPr>
        <w:t>do innych podmiotów określonych w ustawie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(w art. 5), którymi są:</w:t>
      </w:r>
    </w:p>
    <w:p w:rsidR="00D3068C" w:rsidRDefault="0056744A" w:rsidP="00D3068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68C">
        <w:rPr>
          <w:rFonts w:ascii="Times New Roman" w:eastAsia="Calibri" w:hAnsi="Times New Roman" w:cs="Times New Roman"/>
          <w:sz w:val="24"/>
          <w:szCs w:val="24"/>
        </w:rPr>
        <w:t xml:space="preserve">spółki z o.o. i </w:t>
      </w:r>
      <w:r w:rsidR="00D3068C">
        <w:rPr>
          <w:rFonts w:ascii="Times New Roman" w:eastAsia="Calibri" w:hAnsi="Times New Roman" w:cs="Times New Roman"/>
          <w:sz w:val="24"/>
          <w:szCs w:val="24"/>
        </w:rPr>
        <w:t xml:space="preserve">spółki </w:t>
      </w:r>
      <w:r w:rsidRPr="00D3068C">
        <w:rPr>
          <w:rFonts w:ascii="Times New Roman" w:eastAsia="Calibri" w:hAnsi="Times New Roman" w:cs="Times New Roman"/>
          <w:sz w:val="24"/>
          <w:szCs w:val="24"/>
        </w:rPr>
        <w:t>akcyjne</w:t>
      </w:r>
      <w:r w:rsidR="00D3068C">
        <w:rPr>
          <w:rFonts w:ascii="Times New Roman" w:eastAsia="Calibri" w:hAnsi="Times New Roman" w:cs="Times New Roman"/>
          <w:sz w:val="24"/>
          <w:szCs w:val="24"/>
        </w:rPr>
        <w:t xml:space="preserve"> (od 1 marca 2021 r. również proste spółki akcyjne) nie</w:t>
      </w:r>
      <w:r w:rsidRPr="00D3068C">
        <w:rPr>
          <w:rFonts w:ascii="Times New Roman" w:eastAsia="Calibri" w:hAnsi="Times New Roman" w:cs="Times New Roman"/>
          <w:sz w:val="24"/>
          <w:szCs w:val="24"/>
        </w:rPr>
        <w:t>prowadzące działalności gospod</w:t>
      </w:r>
      <w:r w:rsidR="00D3068C">
        <w:rPr>
          <w:rFonts w:ascii="Times New Roman" w:eastAsia="Calibri" w:hAnsi="Times New Roman" w:cs="Times New Roman"/>
          <w:sz w:val="24"/>
          <w:szCs w:val="24"/>
        </w:rPr>
        <w:t>arczej (art. 5 ust. 2, pkt. 1) - od</w:t>
      </w:r>
    </w:p>
    <w:p w:rsidR="00D3068C" w:rsidRDefault="0056744A" w:rsidP="00D3068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68C">
        <w:rPr>
          <w:rFonts w:ascii="Times New Roman" w:eastAsia="Calibri" w:hAnsi="Times New Roman" w:cs="Times New Roman"/>
          <w:sz w:val="24"/>
          <w:szCs w:val="24"/>
        </w:rPr>
        <w:t>wspólnicy spółek osobowych ponoszący odpowiedzialność za zobowiązania spółki bez ograniczenia całym swoim majątki</w:t>
      </w:r>
      <w:r w:rsidR="00D3068C">
        <w:rPr>
          <w:rFonts w:ascii="Times New Roman" w:eastAsia="Calibri" w:hAnsi="Times New Roman" w:cs="Times New Roman"/>
          <w:sz w:val="24"/>
          <w:szCs w:val="24"/>
        </w:rPr>
        <w:t xml:space="preserve">em (art. 5 ust. 2, pkt. 2) – a zatem wspólnicy spółki jawnej oraz </w:t>
      </w:r>
      <w:proofErr w:type="spellStart"/>
      <w:r w:rsidR="00D3068C">
        <w:rPr>
          <w:rFonts w:ascii="Times New Roman" w:eastAsia="Calibri" w:hAnsi="Times New Roman" w:cs="Times New Roman"/>
          <w:sz w:val="24"/>
          <w:szCs w:val="24"/>
        </w:rPr>
        <w:t>komplementariusze</w:t>
      </w:r>
      <w:proofErr w:type="spellEnd"/>
      <w:r w:rsidR="00D3068C">
        <w:rPr>
          <w:rFonts w:ascii="Times New Roman" w:eastAsia="Calibri" w:hAnsi="Times New Roman" w:cs="Times New Roman"/>
          <w:sz w:val="24"/>
          <w:szCs w:val="24"/>
        </w:rPr>
        <w:t xml:space="preserve"> spółki komandytowej i komandytowo-akcyjnej</w:t>
      </w:r>
    </w:p>
    <w:p w:rsidR="0056744A" w:rsidRDefault="0056744A" w:rsidP="00D3068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68C">
        <w:rPr>
          <w:rFonts w:ascii="Times New Roman" w:eastAsia="Calibri" w:hAnsi="Times New Roman" w:cs="Times New Roman"/>
          <w:sz w:val="24"/>
          <w:szCs w:val="24"/>
        </w:rPr>
        <w:t xml:space="preserve">wspólnicy spółki partnerskiej (art. 5 ust. 2, pkt. 3). </w:t>
      </w:r>
    </w:p>
    <w:p w:rsidR="00E608F8" w:rsidRDefault="00E608F8" w:rsidP="00E608F8">
      <w:pPr>
        <w:pStyle w:val="Akapitzlist"/>
        <w:spacing w:after="0" w:line="360" w:lineRule="auto"/>
        <w:ind w:left="10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8F8" w:rsidRDefault="00E608F8" w:rsidP="00E608F8">
      <w:pPr>
        <w:pStyle w:val="Akapitzlist"/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Wymienione podmioty posiadają tzw. zdolność upadłościową, czyli może być w stosunku do nich wszczęte i prowadzone postępowanie upadłościowe. Co do zasady postępowanie to może dotyczyć podmiotów istniejących w chwili jego wszczęcia, ale art. 7 – 9 zawierają szczególne regulacje specyficznych sytuacji mogących powstać w przypadku gdy przedsiębiorcą jest osoba fizyczna:</w:t>
      </w:r>
    </w:p>
    <w:p w:rsidR="00E608F8" w:rsidRDefault="00E608F8" w:rsidP="00E608F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mocy art. 7  PU w</w:t>
      </w:r>
      <w:r w:rsidRPr="00E608F8">
        <w:rPr>
          <w:rFonts w:ascii="Times New Roman" w:eastAsia="Calibri" w:hAnsi="Times New Roman" w:cs="Times New Roman"/>
          <w:sz w:val="24"/>
          <w:szCs w:val="24"/>
        </w:rPr>
        <w:t xml:space="preserve"> razie śmierci przedsiębiorcy można ogłosić jego upadłość, jeżeli wniosek o ogłoszenie upadłości został złożony w terminie roku od dnia jego śmierci, a w przypadku ustanowienia zarządu sukcesyjnego, o którym mowa w ustawie z dnia 5 lipca 2018 r. o zarządzie sukcesyjnym przedsiębiorstwem osoby fizycznej i innych ułatwieniach związan</w:t>
      </w:r>
      <w:r>
        <w:rPr>
          <w:rFonts w:ascii="Times New Roman" w:eastAsia="Calibri" w:hAnsi="Times New Roman" w:cs="Times New Roman"/>
          <w:sz w:val="24"/>
          <w:szCs w:val="24"/>
        </w:rPr>
        <w:t>ych z sukcesją przedsiębiorstw</w:t>
      </w:r>
      <w:r w:rsidRPr="00E608F8">
        <w:rPr>
          <w:rFonts w:ascii="Times New Roman" w:eastAsia="Calibri" w:hAnsi="Times New Roman" w:cs="Times New Roman"/>
          <w:sz w:val="24"/>
          <w:szCs w:val="24"/>
        </w:rPr>
        <w:t xml:space="preserve"> – także po upływie roku od dnia śmierci przedsiębiorcy, a przed dniem wygaśni</w:t>
      </w:r>
      <w:r>
        <w:rPr>
          <w:rFonts w:ascii="Times New Roman" w:eastAsia="Calibri" w:hAnsi="Times New Roman" w:cs="Times New Roman"/>
          <w:sz w:val="24"/>
          <w:szCs w:val="24"/>
        </w:rPr>
        <w:t>ęcia zarządu sukcesyjnego,</w:t>
      </w:r>
    </w:p>
    <w:p w:rsidR="00E608F8" w:rsidRDefault="00E608F8" w:rsidP="00E608F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mocy art. 8 PU w</w:t>
      </w:r>
      <w:r w:rsidRPr="00E608F8">
        <w:rPr>
          <w:rFonts w:ascii="Times New Roman" w:eastAsia="Calibri" w:hAnsi="Times New Roman" w:cs="Times New Roman"/>
          <w:sz w:val="24"/>
          <w:szCs w:val="24"/>
        </w:rPr>
        <w:t xml:space="preserve">ierzyciel może złożyć wniosek o ogłoszenie upadłości osoby fizycznej, która była przedsiębiorcą, także po zaprzestaniu prowadzenia przez nią działalności gospodarczej, jeżeli od dnia wykreślenia z właściwego rejestru nie upłynął rok. Przepis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ten </w:t>
      </w:r>
      <w:r w:rsidRPr="00E608F8">
        <w:rPr>
          <w:rFonts w:ascii="Times New Roman" w:eastAsia="Calibri" w:hAnsi="Times New Roman" w:cs="Times New Roman"/>
          <w:sz w:val="24"/>
          <w:szCs w:val="24"/>
        </w:rPr>
        <w:t>stosuje się odpowiednio do osób, które przestały być wspólnik</w:t>
      </w:r>
      <w:r>
        <w:rPr>
          <w:rFonts w:ascii="Times New Roman" w:eastAsia="Calibri" w:hAnsi="Times New Roman" w:cs="Times New Roman"/>
          <w:sz w:val="24"/>
          <w:szCs w:val="24"/>
        </w:rPr>
        <w:t>ami osobowych spółek handlowych,</w:t>
      </w:r>
    </w:p>
    <w:p w:rsidR="00E608F8" w:rsidRDefault="00E608F8" w:rsidP="00E608F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mocy art. 9 PU w</w:t>
      </w:r>
      <w:r w:rsidRPr="00E608F8">
        <w:rPr>
          <w:rFonts w:ascii="Times New Roman" w:eastAsia="Calibri" w:hAnsi="Times New Roman" w:cs="Times New Roman"/>
          <w:sz w:val="24"/>
          <w:szCs w:val="24"/>
        </w:rPr>
        <w:t>ierzyciel może złożyć wniosek o ogłoszenie upadłości osoby fizycznej, która faktycznie prowadziła działalność gospodarczą, nawet wówczas gdy nie dopełniła obowiązku jej zgłoszenia we właściwym rejestrze, jeżeli od dnia zaprzestania prowadzenia działalności nie upłynął rok.</w:t>
      </w:r>
    </w:p>
    <w:p w:rsidR="009E4BE8" w:rsidRDefault="009E4BE8" w:rsidP="009E4BE8">
      <w:pPr>
        <w:spacing w:after="0" w:line="36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BE8" w:rsidRDefault="009E4BE8" w:rsidP="009E4BE8">
      <w:pPr>
        <w:spacing w:after="0" w:line="36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Inne podmioty nie posiadają zdolności upadłościowej. Na mocy wyraźnego przepisu art. 6 PU nie można ogłosić upadłości:</w:t>
      </w:r>
    </w:p>
    <w:p w:rsidR="009E4BE8" w:rsidRDefault="009E4BE8" w:rsidP="009E4BE8">
      <w:pPr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BE8">
        <w:rPr>
          <w:rFonts w:ascii="Times New Roman" w:eastAsia="Calibri" w:hAnsi="Times New Roman" w:cs="Times New Roman"/>
          <w:sz w:val="24"/>
          <w:szCs w:val="24"/>
        </w:rPr>
        <w:t xml:space="preserve">1) Skarbu Państwa; </w:t>
      </w:r>
    </w:p>
    <w:p w:rsidR="009E4BE8" w:rsidRDefault="009E4BE8" w:rsidP="009E4BE8">
      <w:pPr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BE8">
        <w:rPr>
          <w:rFonts w:ascii="Times New Roman" w:eastAsia="Calibri" w:hAnsi="Times New Roman" w:cs="Times New Roman"/>
          <w:sz w:val="24"/>
          <w:szCs w:val="24"/>
        </w:rPr>
        <w:t xml:space="preserve">2) jednostek samorządu terytorialnego; </w:t>
      </w:r>
    </w:p>
    <w:p w:rsidR="009E4BE8" w:rsidRDefault="009E4BE8" w:rsidP="009E4BE8">
      <w:pPr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BE8">
        <w:rPr>
          <w:rFonts w:ascii="Times New Roman" w:eastAsia="Calibri" w:hAnsi="Times New Roman" w:cs="Times New Roman"/>
          <w:sz w:val="24"/>
          <w:szCs w:val="24"/>
        </w:rPr>
        <w:t xml:space="preserve">3) publicznych samodzielnych zakładów opieki zdrowotnej; </w:t>
      </w:r>
    </w:p>
    <w:p w:rsidR="009E4BE8" w:rsidRDefault="009E4BE8" w:rsidP="009E4BE8">
      <w:pPr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BE8">
        <w:rPr>
          <w:rFonts w:ascii="Times New Roman" w:eastAsia="Calibri" w:hAnsi="Times New Roman" w:cs="Times New Roman"/>
          <w:sz w:val="24"/>
          <w:szCs w:val="24"/>
        </w:rPr>
        <w:t xml:space="preserve">4) instytucji i osób prawnych utworzonych w drodze ustawy, chyba że ustawa ta stanowi inaczej, oraz utworzonych w wykonaniu obowiązku nałożonego ustawą; </w:t>
      </w:r>
    </w:p>
    <w:p w:rsidR="009E4BE8" w:rsidRDefault="009E4BE8" w:rsidP="009E4BE8">
      <w:pPr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BE8">
        <w:rPr>
          <w:rFonts w:ascii="Times New Roman" w:eastAsia="Calibri" w:hAnsi="Times New Roman" w:cs="Times New Roman"/>
          <w:sz w:val="24"/>
          <w:szCs w:val="24"/>
        </w:rPr>
        <w:t xml:space="preserve">5) osób fizycznych prowadzących gospodarstwo rolne, które nie prowadzą innej działalności gospodarczej lub zawodowej; </w:t>
      </w:r>
    </w:p>
    <w:p w:rsidR="009E4BE8" w:rsidRDefault="009E4BE8" w:rsidP="009E4BE8">
      <w:pPr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BE8">
        <w:rPr>
          <w:rFonts w:ascii="Times New Roman" w:eastAsia="Calibri" w:hAnsi="Times New Roman" w:cs="Times New Roman"/>
          <w:sz w:val="24"/>
          <w:szCs w:val="24"/>
        </w:rPr>
        <w:t xml:space="preserve">6) uczelni; </w:t>
      </w:r>
    </w:p>
    <w:p w:rsidR="009E4BE8" w:rsidRPr="009E4BE8" w:rsidRDefault="009E4BE8" w:rsidP="009E4BE8">
      <w:pPr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BE8">
        <w:rPr>
          <w:rFonts w:ascii="Times New Roman" w:eastAsia="Calibri" w:hAnsi="Times New Roman" w:cs="Times New Roman"/>
          <w:sz w:val="24"/>
          <w:szCs w:val="24"/>
        </w:rPr>
        <w:t>7) funduszy inwestycyjnych.</w:t>
      </w:r>
    </w:p>
    <w:p w:rsidR="00D3068C" w:rsidRPr="00113F07" w:rsidRDefault="00D3068C" w:rsidP="00A507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C9F" w:rsidRPr="00113F07" w:rsidRDefault="000D3C9F" w:rsidP="00796F2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F0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Rodzaje postępowań upadłościowych </w:t>
      </w:r>
    </w:p>
    <w:p w:rsidR="000D3C9F" w:rsidRPr="00113F07" w:rsidRDefault="000D3C9F" w:rsidP="00796F23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C9F" w:rsidRPr="00113F07" w:rsidRDefault="000D3C9F" w:rsidP="00796F2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Ponieważ po wejściu w życie przepisów PR, z zakresu regulowanego przepisami PU zostały wyłączone kwestie dotyczące prowadzenia postępowania naprawczego wobec przedsiębiorców zagrodzonych niewypłacalnością, jej przepisy regulują obecnie jeden rodzaj postępowania – </w:t>
      </w:r>
      <w:r w:rsidRPr="00113F07">
        <w:rPr>
          <w:rFonts w:ascii="Times New Roman" w:eastAsia="Calibri" w:hAnsi="Times New Roman" w:cs="Times New Roman"/>
          <w:b/>
          <w:sz w:val="24"/>
          <w:szCs w:val="24"/>
        </w:rPr>
        <w:t xml:space="preserve">postępowanie upadłościowe </w:t>
      </w: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prowadzone z zasady w stosunku do dłużników niewypłacalnych. </w:t>
      </w:r>
      <w:r w:rsidR="009030AF" w:rsidRPr="00113F07">
        <w:rPr>
          <w:rFonts w:ascii="Times New Roman" w:eastAsia="Calibri" w:hAnsi="Times New Roman" w:cs="Times New Roman"/>
          <w:sz w:val="24"/>
          <w:szCs w:val="24"/>
        </w:rPr>
        <w:t>W oparciu o przepisy PU w</w:t>
      </w: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yróżnić można następujące rodzaje </w:t>
      </w:r>
      <w:r w:rsidR="009030AF" w:rsidRPr="00113F07">
        <w:rPr>
          <w:rFonts w:ascii="Times New Roman" w:eastAsia="Calibri" w:hAnsi="Times New Roman" w:cs="Times New Roman"/>
          <w:sz w:val="24"/>
          <w:szCs w:val="24"/>
        </w:rPr>
        <w:t>wskazanych w niej postępowań upadłościowych, uregulowanych</w:t>
      </w: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 w odrębnych częściach ustawy:</w:t>
      </w:r>
    </w:p>
    <w:p w:rsidR="00796F23" w:rsidRPr="00113F07" w:rsidRDefault="00796F23" w:rsidP="00796F2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C9F" w:rsidRPr="00113F07" w:rsidRDefault="009030AF" w:rsidP="00796F23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>Ogólne p</w:t>
      </w:r>
      <w:r w:rsidR="000D3C9F" w:rsidRPr="00113F07">
        <w:rPr>
          <w:rFonts w:ascii="Times New Roman" w:eastAsia="Calibri" w:hAnsi="Times New Roman" w:cs="Times New Roman"/>
          <w:sz w:val="24"/>
          <w:szCs w:val="24"/>
        </w:rPr>
        <w:t>ostępowanie</w:t>
      </w: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 upadłościowe</w:t>
      </w:r>
      <w:r w:rsidR="000D3C9F" w:rsidRPr="00113F07">
        <w:rPr>
          <w:rFonts w:ascii="Times New Roman" w:eastAsia="Calibri" w:hAnsi="Times New Roman" w:cs="Times New Roman"/>
          <w:sz w:val="24"/>
          <w:szCs w:val="24"/>
        </w:rPr>
        <w:t xml:space="preserve"> uregulowane przepisami zawartymi w części pierwszej ustawy (art. </w:t>
      </w:r>
      <w:r w:rsidRPr="00113F07">
        <w:rPr>
          <w:rFonts w:ascii="Times New Roman" w:eastAsia="Calibri" w:hAnsi="Times New Roman" w:cs="Times New Roman"/>
          <w:sz w:val="24"/>
          <w:szCs w:val="24"/>
        </w:rPr>
        <w:t>1 – 377 PU)</w:t>
      </w:r>
      <w:r w:rsidR="00B52DE7" w:rsidRPr="00113F07">
        <w:rPr>
          <w:rFonts w:ascii="Times New Roman" w:eastAsia="Calibri" w:hAnsi="Times New Roman" w:cs="Times New Roman"/>
          <w:sz w:val="24"/>
          <w:szCs w:val="24"/>
        </w:rPr>
        <w:t>.</w:t>
      </w:r>
      <w:r w:rsidR="00791729" w:rsidRPr="00113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DE7" w:rsidRPr="00113F07">
        <w:rPr>
          <w:rFonts w:ascii="Times New Roman" w:eastAsia="Calibri" w:hAnsi="Times New Roman" w:cs="Times New Roman"/>
          <w:sz w:val="24"/>
          <w:szCs w:val="24"/>
        </w:rPr>
        <w:t>W</w:t>
      </w:r>
      <w:r w:rsidR="00791729" w:rsidRPr="00113F07">
        <w:rPr>
          <w:rFonts w:ascii="Times New Roman" w:eastAsia="Calibri" w:hAnsi="Times New Roman" w:cs="Times New Roman"/>
          <w:sz w:val="24"/>
          <w:szCs w:val="24"/>
        </w:rPr>
        <w:t xml:space="preserve"> jego ramach</w:t>
      </w:r>
      <w:r w:rsidR="00B52DE7" w:rsidRPr="00113F07">
        <w:rPr>
          <w:rFonts w:ascii="Times New Roman" w:eastAsia="Calibri" w:hAnsi="Times New Roman" w:cs="Times New Roman"/>
          <w:sz w:val="24"/>
          <w:szCs w:val="24"/>
        </w:rPr>
        <w:t xml:space="preserve"> zawarte zostały</w:t>
      </w:r>
      <w:r w:rsidR="00791729" w:rsidRPr="00113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DE7" w:rsidRPr="00113F07">
        <w:rPr>
          <w:rFonts w:ascii="Times New Roman" w:eastAsia="Calibri" w:hAnsi="Times New Roman" w:cs="Times New Roman"/>
          <w:sz w:val="24"/>
          <w:szCs w:val="24"/>
        </w:rPr>
        <w:t xml:space="preserve">przepisy </w:t>
      </w:r>
      <w:r w:rsidR="00791729" w:rsidRPr="00113F07">
        <w:rPr>
          <w:rFonts w:ascii="Times New Roman" w:eastAsia="Calibri" w:hAnsi="Times New Roman" w:cs="Times New Roman"/>
          <w:sz w:val="24"/>
          <w:szCs w:val="24"/>
        </w:rPr>
        <w:t xml:space="preserve">szczególne </w:t>
      </w:r>
      <w:r w:rsidR="00B52DE7" w:rsidRPr="00113F07">
        <w:rPr>
          <w:rFonts w:ascii="Times New Roman" w:eastAsia="Calibri" w:hAnsi="Times New Roman" w:cs="Times New Roman"/>
          <w:sz w:val="24"/>
          <w:szCs w:val="24"/>
        </w:rPr>
        <w:t xml:space="preserve">dotyczące </w:t>
      </w:r>
      <w:r w:rsidR="00791729" w:rsidRPr="00113F07">
        <w:rPr>
          <w:rFonts w:ascii="Times New Roman" w:eastAsia="Calibri" w:hAnsi="Times New Roman" w:cs="Times New Roman"/>
          <w:sz w:val="24"/>
          <w:szCs w:val="24"/>
        </w:rPr>
        <w:t xml:space="preserve"> upadłych będących osobami fizycznymi - planu spłaty wierzycieli i umorzenie pozostałej części zobowiązań, które nie zostały zaspokojone w postępowaniu upadłościowym</w:t>
      </w:r>
      <w:r w:rsidR="00B52DE7" w:rsidRPr="00113F07">
        <w:rPr>
          <w:rFonts w:ascii="Times New Roman" w:eastAsia="Calibri" w:hAnsi="Times New Roman" w:cs="Times New Roman"/>
          <w:sz w:val="24"/>
          <w:szCs w:val="24"/>
        </w:rPr>
        <w:t xml:space="preserve"> – art. 369 i nast. a także przepisy art. 373 i </w:t>
      </w:r>
      <w:r w:rsidR="002839A4" w:rsidRPr="00113F07">
        <w:rPr>
          <w:rFonts w:ascii="Times New Roman" w:eastAsia="Calibri" w:hAnsi="Times New Roman" w:cs="Times New Roman"/>
          <w:sz w:val="24"/>
          <w:szCs w:val="24"/>
        </w:rPr>
        <w:t xml:space="preserve">nast. </w:t>
      </w:r>
      <w:r w:rsidR="00B52DE7" w:rsidRPr="00113F07">
        <w:rPr>
          <w:rFonts w:ascii="Times New Roman" w:eastAsia="Calibri" w:hAnsi="Times New Roman" w:cs="Times New Roman"/>
          <w:sz w:val="24"/>
          <w:szCs w:val="24"/>
        </w:rPr>
        <w:t>regulujące postępowanie w sprawach orzekania zakazu prowadzenia działalności gospodarczej przez osoby wskazane w tych przepisach (sankcja dodatkowa</w:t>
      </w:r>
      <w:r w:rsidR="002839A4" w:rsidRPr="00113F07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0D3C9F" w:rsidRPr="00113F07" w:rsidRDefault="000D3C9F" w:rsidP="00796F23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>Międzynarodowe postępowanie upadłościowe – uregulowane w części drugiej ustawy</w:t>
      </w:r>
      <w:r w:rsidR="009030AF" w:rsidRPr="00113F07">
        <w:rPr>
          <w:rFonts w:ascii="Times New Roman" w:eastAsia="Calibri" w:hAnsi="Times New Roman" w:cs="Times New Roman"/>
          <w:sz w:val="24"/>
          <w:szCs w:val="24"/>
        </w:rPr>
        <w:t xml:space="preserve"> (art. 378 – 417 PU)</w:t>
      </w:r>
      <w:r w:rsidR="00A22761" w:rsidRPr="00113F07">
        <w:rPr>
          <w:rFonts w:ascii="Times New Roman" w:eastAsia="Calibri" w:hAnsi="Times New Roman" w:cs="Times New Roman"/>
          <w:sz w:val="24"/>
          <w:szCs w:val="24"/>
        </w:rPr>
        <w:t>. Przepisów tych jednak nie stosuje się, jeżeli umowa międzynarodowa, której Rzeczpospolita Polska jest stroną, albo prawo organizacji międzynarodowej, której Rzeczpospolita Polska jest członkiem, stanowi inaczej. Na obszarze UE - rozporządzenie Parlamentu Europejskiego i Rady (UE) 2015/848 z dnia 20 maja 2015 r. w sprawie postępowania upadłościowego (Dz. Urz. UE L 141 z 05.06.2015, str. 19)</w:t>
      </w:r>
      <w:r w:rsidR="003A154E" w:rsidRPr="00113F07">
        <w:rPr>
          <w:rFonts w:ascii="Times New Roman" w:eastAsia="Calibri" w:hAnsi="Times New Roman" w:cs="Times New Roman"/>
          <w:sz w:val="24"/>
          <w:szCs w:val="24"/>
        </w:rPr>
        <w:t>. W ramach tej części także tzw. wtórne postępowanie upadłościowe – art. 405 i nast. - uznanie orzeczenia o wszczęciu zagranicznego postępowania upadłościowego nie stanowi przeszkody do wszczęcia przez sąd polski postępowania upadłościowego. Jeżeli jednak uznane zostało orzeczenie o wszczęciu głównego zagranicznego postępowania upadłościowego, postępowanie upadłościowe wszczęte w Rzeczypospolitej Polskiej jest wtórnym postępowaniem upadłościowym</w:t>
      </w:r>
    </w:p>
    <w:p w:rsidR="00796F23" w:rsidRPr="00113F07" w:rsidRDefault="009030AF" w:rsidP="00796F23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>Odrębne postępowania upadłościowe</w:t>
      </w:r>
      <w:r w:rsidR="000D3C9F" w:rsidRPr="00113F07">
        <w:rPr>
          <w:rFonts w:ascii="Times New Roman" w:eastAsia="Calibri" w:hAnsi="Times New Roman" w:cs="Times New Roman"/>
          <w:sz w:val="24"/>
          <w:szCs w:val="24"/>
        </w:rPr>
        <w:t xml:space="preserve"> – uregulowane w części trzeciej ustawy</w:t>
      </w: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 (art. 418 – 491</w:t>
      </w:r>
      <w:r w:rsidRPr="00113F07">
        <w:rPr>
          <w:rFonts w:ascii="Times New Roman" w:eastAsia="Calibri" w:hAnsi="Times New Roman" w:cs="Times New Roman"/>
          <w:sz w:val="24"/>
          <w:szCs w:val="24"/>
          <w:vertAlign w:val="superscript"/>
        </w:rPr>
        <w:t>23</w:t>
      </w:r>
      <w:r w:rsidRPr="00113F07">
        <w:rPr>
          <w:rFonts w:ascii="Times New Roman" w:eastAsia="Calibri" w:hAnsi="Times New Roman" w:cs="Times New Roman"/>
          <w:sz w:val="24"/>
          <w:szCs w:val="24"/>
        </w:rPr>
        <w:t>)</w:t>
      </w:r>
      <w:r w:rsidR="000D3C9F" w:rsidRPr="00113F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wyróżnione ze względu na szczególne cechy podmiotów, których dotyczą i </w:t>
      </w:r>
      <w:r w:rsidR="000D3C9F" w:rsidRPr="00113F07">
        <w:rPr>
          <w:rFonts w:ascii="Times New Roman" w:eastAsia="Calibri" w:hAnsi="Times New Roman" w:cs="Times New Roman"/>
          <w:sz w:val="24"/>
          <w:szCs w:val="24"/>
        </w:rPr>
        <w:t>częściowo różniące się swoim przebiegiem od postępowania ogólnego u</w:t>
      </w:r>
      <w:r w:rsidRPr="00113F07">
        <w:rPr>
          <w:rFonts w:ascii="Times New Roman" w:eastAsia="Calibri" w:hAnsi="Times New Roman" w:cs="Times New Roman"/>
          <w:sz w:val="24"/>
          <w:szCs w:val="24"/>
        </w:rPr>
        <w:t>regulowanego w Części pierwszej. Obecnie wyróżniamy sześć odrębnych postępowań upadłościowych:</w:t>
      </w:r>
    </w:p>
    <w:p w:rsidR="000D3C9F" w:rsidRPr="00113F07" w:rsidRDefault="009030AF" w:rsidP="00796F23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postępowanie upadłościowe </w:t>
      </w:r>
      <w:r w:rsidR="000D3C9F" w:rsidRPr="00113F07">
        <w:rPr>
          <w:rFonts w:ascii="Times New Roman" w:eastAsia="Calibri" w:hAnsi="Times New Roman" w:cs="Times New Roman"/>
          <w:sz w:val="24"/>
          <w:szCs w:val="24"/>
        </w:rPr>
        <w:t>wszczęte po śmierci niewypłacalnego dłużnika,</w:t>
      </w:r>
    </w:p>
    <w:p w:rsidR="000D3C9F" w:rsidRPr="00113F07" w:rsidRDefault="009030AF" w:rsidP="00796F23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postępowanie upadłościowe </w:t>
      </w:r>
      <w:r w:rsidR="000D3C9F" w:rsidRPr="00113F07">
        <w:rPr>
          <w:rFonts w:ascii="Times New Roman" w:eastAsia="Calibri" w:hAnsi="Times New Roman" w:cs="Times New Roman"/>
          <w:sz w:val="24"/>
          <w:szCs w:val="24"/>
        </w:rPr>
        <w:t>wobec deweloperów,</w:t>
      </w:r>
    </w:p>
    <w:p w:rsidR="000D3C9F" w:rsidRPr="00113F07" w:rsidRDefault="009030AF" w:rsidP="00796F23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postępowanie upadłościowe </w:t>
      </w:r>
      <w:r w:rsidR="000D3C9F" w:rsidRPr="00113F07">
        <w:rPr>
          <w:rFonts w:ascii="Times New Roman" w:eastAsia="Calibri" w:hAnsi="Times New Roman" w:cs="Times New Roman"/>
          <w:sz w:val="24"/>
          <w:szCs w:val="24"/>
        </w:rPr>
        <w:t>wobec banków i SKOK-ów,</w:t>
      </w:r>
    </w:p>
    <w:p w:rsidR="000D3C9F" w:rsidRPr="00113F07" w:rsidRDefault="009030AF" w:rsidP="00796F23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postępowanie upadłościowe </w:t>
      </w:r>
      <w:r w:rsidR="000D3C9F" w:rsidRPr="00113F07">
        <w:rPr>
          <w:rFonts w:ascii="Times New Roman" w:eastAsia="Calibri" w:hAnsi="Times New Roman" w:cs="Times New Roman"/>
          <w:sz w:val="24"/>
          <w:szCs w:val="24"/>
        </w:rPr>
        <w:t>wobec zakładów ubezpieczeń i reasekuracji,</w:t>
      </w:r>
    </w:p>
    <w:p w:rsidR="000D3C9F" w:rsidRPr="00113F07" w:rsidRDefault="009030AF" w:rsidP="00796F23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postępowanie upadłościowe </w:t>
      </w:r>
      <w:r w:rsidR="000D3C9F" w:rsidRPr="00113F07">
        <w:rPr>
          <w:rFonts w:ascii="Times New Roman" w:eastAsia="Calibri" w:hAnsi="Times New Roman" w:cs="Times New Roman"/>
          <w:sz w:val="24"/>
          <w:szCs w:val="24"/>
        </w:rPr>
        <w:t>wobec emitentów obligacji,</w:t>
      </w:r>
    </w:p>
    <w:p w:rsidR="000D3C9F" w:rsidRPr="00113F07" w:rsidRDefault="009030AF" w:rsidP="00796F23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postępowanie upadłościowe </w:t>
      </w:r>
      <w:r w:rsidR="000D3C9F" w:rsidRPr="00113F07">
        <w:rPr>
          <w:rFonts w:ascii="Times New Roman" w:eastAsia="Calibri" w:hAnsi="Times New Roman" w:cs="Times New Roman"/>
          <w:sz w:val="24"/>
          <w:szCs w:val="24"/>
        </w:rPr>
        <w:t>wobec osób fizycznych nieprowadz</w:t>
      </w:r>
      <w:r w:rsidRPr="00113F07">
        <w:rPr>
          <w:rFonts w:ascii="Times New Roman" w:eastAsia="Calibri" w:hAnsi="Times New Roman" w:cs="Times New Roman"/>
          <w:sz w:val="24"/>
          <w:szCs w:val="24"/>
        </w:rPr>
        <w:t>ących działalności gospodarczej (tzw. upadłość konsumencka).</w:t>
      </w:r>
    </w:p>
    <w:p w:rsidR="00791729" w:rsidRPr="00113F07" w:rsidRDefault="00791729" w:rsidP="00791729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0AF" w:rsidRPr="00113F07" w:rsidRDefault="009030AF" w:rsidP="00791729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Poszczególne postępowania odrębne mogą podlegać dalszemu zróżnicowaniu ze względu na szczególne kategorie podmiotów, których dotyczą. </w:t>
      </w:r>
      <w:r w:rsidR="00286B70" w:rsidRPr="00113F07">
        <w:rPr>
          <w:rFonts w:ascii="Times New Roman" w:eastAsia="Calibri" w:hAnsi="Times New Roman" w:cs="Times New Roman"/>
          <w:sz w:val="24"/>
          <w:szCs w:val="24"/>
        </w:rPr>
        <w:t>Przykładowo w ramach postępowania upadłościowego wobec banków i SKOK-ów ustawodawca wyodrębnia</w:t>
      </w:r>
    </w:p>
    <w:p w:rsidR="00286B70" w:rsidRPr="00113F07" w:rsidRDefault="00286B70" w:rsidP="00796F23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>- przepisy ogólne</w:t>
      </w:r>
    </w:p>
    <w:p w:rsidR="00286B70" w:rsidRPr="00113F07" w:rsidRDefault="00286B70" w:rsidP="00796F23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>- postępowanie upadłościowe wobec banków hipotecznych,</w:t>
      </w:r>
    </w:p>
    <w:p w:rsidR="00286B70" w:rsidRPr="00113F07" w:rsidRDefault="00286B70" w:rsidP="00796F23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>- postępowanie upadłościowe wobec instytucji kredytowych, banków zagranicznych oraz banków krajowych prowadzących działalność za granicą.</w:t>
      </w:r>
    </w:p>
    <w:p w:rsidR="00791729" w:rsidRPr="00113F07" w:rsidRDefault="00791729" w:rsidP="003A15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44A" w:rsidRPr="00113F07" w:rsidRDefault="00286B70" w:rsidP="00A227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>Zaznaczyć należy także, że z mocy art. 4 PU, do innych rodzajów postępowań unormowanych w ustawie stosuje się odpowiednio przepisy części pierwszej, chyba że przepis szczególny stanowi inaczej. Przepis ten rozciąga zatem moc przepisów regulujących ogólne postępowanie upadłościowe na przepisy regulujące postępowanie międzynarodowe i postępowania odrębne, w zakresie nie uregulowanym inaczej w dotyczących ich przepisach szczególnych</w:t>
      </w:r>
      <w:r w:rsidR="0061188A" w:rsidRPr="00113F07">
        <w:rPr>
          <w:rFonts w:ascii="Times New Roman" w:eastAsia="Calibri" w:hAnsi="Times New Roman" w:cs="Times New Roman"/>
          <w:sz w:val="24"/>
          <w:szCs w:val="24"/>
        </w:rPr>
        <w:t>.</w:t>
      </w:r>
      <w:r w:rsidR="00A22761" w:rsidRPr="00113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F23" w:rsidRPr="00113F07">
        <w:rPr>
          <w:rFonts w:ascii="Times New Roman" w:eastAsia="Calibri" w:hAnsi="Times New Roman" w:cs="Times New Roman"/>
          <w:sz w:val="24"/>
          <w:szCs w:val="24"/>
        </w:rPr>
        <w:t>Przepisy części pierwszej stosuje się odpowiednio do postępowań określonych w art. 36 oraz rozdziale V</w:t>
      </w:r>
      <w:r w:rsidR="00A22761" w:rsidRPr="00113F07">
        <w:rPr>
          <w:rFonts w:ascii="Times New Roman" w:eastAsia="Calibri" w:hAnsi="Times New Roman" w:cs="Times New Roman"/>
          <w:sz w:val="24"/>
          <w:szCs w:val="24"/>
        </w:rPr>
        <w:t xml:space="preserve"> rozporządzenia Parlamentu Europejskiego i Rady (UE) 2015/848 w sprawie postępowania upadłościowego</w:t>
      </w:r>
      <w:r w:rsidR="00796F23" w:rsidRPr="00113F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744A" w:rsidRPr="00113F07" w:rsidRDefault="00B52DE7" w:rsidP="00B52DE7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Pierwotnie w IV części </w:t>
      </w:r>
      <w:r w:rsidR="0056744A" w:rsidRPr="00113F07">
        <w:rPr>
          <w:rFonts w:ascii="Times New Roman" w:eastAsia="Calibri" w:hAnsi="Times New Roman" w:cs="Times New Roman"/>
          <w:sz w:val="24"/>
          <w:szCs w:val="24"/>
        </w:rPr>
        <w:t xml:space="preserve">czwartej ustawy </w:t>
      </w:r>
      <w:r w:rsidRPr="00113F07">
        <w:rPr>
          <w:rFonts w:ascii="Times New Roman" w:eastAsia="Calibri" w:hAnsi="Times New Roman" w:cs="Times New Roman"/>
          <w:sz w:val="24"/>
          <w:szCs w:val="24"/>
        </w:rPr>
        <w:t xml:space="preserve">– uchylonej w całości przepisami ustawy Prawo restrukturyzacyjne, uregulowane było postępowanie naprawcze, prowadzone w stosunku do przedsiębiorców zagrożonych niewypłacalnością. Pozostały natomiast część piąta </w:t>
      </w:r>
      <w:r w:rsidR="002839A4" w:rsidRPr="00113F07">
        <w:rPr>
          <w:rFonts w:ascii="Times New Roman" w:eastAsia="Calibri" w:hAnsi="Times New Roman" w:cs="Times New Roman"/>
          <w:sz w:val="24"/>
          <w:szCs w:val="24"/>
        </w:rPr>
        <w:t xml:space="preserve">zawierająca </w:t>
      </w:r>
      <w:r w:rsidR="0056744A" w:rsidRPr="00113F07">
        <w:rPr>
          <w:rFonts w:ascii="Times New Roman" w:eastAsia="Calibri" w:hAnsi="Times New Roman" w:cs="Times New Roman"/>
          <w:sz w:val="24"/>
          <w:szCs w:val="24"/>
        </w:rPr>
        <w:t xml:space="preserve">przepisy karne, </w:t>
      </w:r>
      <w:r w:rsidR="002839A4" w:rsidRPr="00113F07">
        <w:rPr>
          <w:rFonts w:ascii="Times New Roman" w:eastAsia="Calibri" w:hAnsi="Times New Roman" w:cs="Times New Roman"/>
          <w:sz w:val="24"/>
          <w:szCs w:val="24"/>
        </w:rPr>
        <w:t>oraz</w:t>
      </w:r>
      <w:r w:rsidR="0056744A" w:rsidRPr="00113F07">
        <w:rPr>
          <w:rFonts w:ascii="Times New Roman" w:eastAsia="Calibri" w:hAnsi="Times New Roman" w:cs="Times New Roman"/>
          <w:sz w:val="24"/>
          <w:szCs w:val="24"/>
        </w:rPr>
        <w:t xml:space="preserve"> część szósta</w:t>
      </w:r>
      <w:r w:rsidR="002839A4" w:rsidRPr="00113F07">
        <w:rPr>
          <w:rFonts w:ascii="Times New Roman" w:eastAsia="Calibri" w:hAnsi="Times New Roman" w:cs="Times New Roman"/>
          <w:sz w:val="24"/>
          <w:szCs w:val="24"/>
        </w:rPr>
        <w:t xml:space="preserve"> obejmująca</w:t>
      </w:r>
      <w:r w:rsidR="0056744A" w:rsidRPr="00113F07">
        <w:rPr>
          <w:rFonts w:ascii="Times New Roman" w:eastAsia="Calibri" w:hAnsi="Times New Roman" w:cs="Times New Roman"/>
          <w:sz w:val="24"/>
          <w:szCs w:val="24"/>
        </w:rPr>
        <w:t xml:space="preserve"> zmiany w przepisach obowiązujących, </w:t>
      </w:r>
      <w:r w:rsidR="002839A4" w:rsidRPr="00113F07">
        <w:rPr>
          <w:rFonts w:ascii="Times New Roman" w:eastAsia="Calibri" w:hAnsi="Times New Roman" w:cs="Times New Roman"/>
          <w:sz w:val="24"/>
          <w:szCs w:val="24"/>
        </w:rPr>
        <w:t>przepisy przejściowe i końcowe.</w:t>
      </w:r>
    </w:p>
    <w:p w:rsidR="0056744A" w:rsidRPr="00113F07" w:rsidRDefault="0056744A" w:rsidP="00B52D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DB1" w:rsidRPr="00113F07" w:rsidRDefault="00AA1479" w:rsidP="00B52DE7">
      <w:pPr>
        <w:rPr>
          <w:rFonts w:ascii="Times New Roman" w:hAnsi="Times New Roman" w:cs="Times New Roman"/>
          <w:sz w:val="24"/>
          <w:szCs w:val="24"/>
        </w:rPr>
      </w:pPr>
    </w:p>
    <w:sectPr w:rsidR="00DE1DB1" w:rsidRPr="00113F07" w:rsidSect="00CB3E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479" w:rsidRDefault="00AA1479" w:rsidP="0056744A">
      <w:pPr>
        <w:spacing w:after="0" w:line="240" w:lineRule="auto"/>
      </w:pPr>
      <w:r>
        <w:separator/>
      </w:r>
    </w:p>
  </w:endnote>
  <w:endnote w:type="continuationSeparator" w:id="0">
    <w:p w:rsidR="00AA1479" w:rsidRDefault="00AA1479" w:rsidP="0056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101782"/>
      <w:docPartObj>
        <w:docPartGallery w:val="Page Numbers (Bottom of Page)"/>
        <w:docPartUnique/>
      </w:docPartObj>
    </w:sdtPr>
    <w:sdtContent>
      <w:p w:rsidR="00286B70" w:rsidRDefault="00303322">
        <w:pPr>
          <w:pStyle w:val="Stopka"/>
          <w:jc w:val="right"/>
        </w:pPr>
        <w:fldSimple w:instr=" PAGE   \* MERGEFORMAT ">
          <w:r w:rsidR="00A50771">
            <w:rPr>
              <w:noProof/>
            </w:rPr>
            <w:t>3</w:t>
          </w:r>
        </w:fldSimple>
      </w:p>
    </w:sdtContent>
  </w:sdt>
  <w:p w:rsidR="00286B70" w:rsidRDefault="00286B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479" w:rsidRDefault="00AA1479" w:rsidP="0056744A">
      <w:pPr>
        <w:spacing w:after="0" w:line="240" w:lineRule="auto"/>
      </w:pPr>
      <w:r>
        <w:separator/>
      </w:r>
    </w:p>
  </w:footnote>
  <w:footnote w:type="continuationSeparator" w:id="0">
    <w:p w:rsidR="00AA1479" w:rsidRDefault="00AA1479" w:rsidP="0056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6B0"/>
    <w:multiLevelType w:val="hybridMultilevel"/>
    <w:tmpl w:val="7DB2A8C6"/>
    <w:lvl w:ilvl="0" w:tplc="0415000B">
      <w:start w:val="1"/>
      <w:numFmt w:val="bullet"/>
      <w:lvlText w:val=""/>
      <w:lvlJc w:val="left"/>
      <w:pPr>
        <w:ind w:left="1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">
    <w:nsid w:val="18B04DD8"/>
    <w:multiLevelType w:val="hybridMultilevel"/>
    <w:tmpl w:val="3A821782"/>
    <w:lvl w:ilvl="0" w:tplc="8F7E57D0">
      <w:start w:val="2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439E"/>
    <w:multiLevelType w:val="hybridMultilevel"/>
    <w:tmpl w:val="AB2C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305EB"/>
    <w:multiLevelType w:val="hybridMultilevel"/>
    <w:tmpl w:val="CA0EF5B8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2D6C3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57D7A"/>
    <w:multiLevelType w:val="hybridMultilevel"/>
    <w:tmpl w:val="EA56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F3640"/>
    <w:multiLevelType w:val="hybridMultilevel"/>
    <w:tmpl w:val="BD44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00987"/>
    <w:multiLevelType w:val="hybridMultilevel"/>
    <w:tmpl w:val="7BBAF5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580627A"/>
    <w:multiLevelType w:val="hybridMultilevel"/>
    <w:tmpl w:val="06263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32F7C"/>
    <w:multiLevelType w:val="hybridMultilevel"/>
    <w:tmpl w:val="AF2C9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B7408"/>
    <w:multiLevelType w:val="hybridMultilevel"/>
    <w:tmpl w:val="73A85B2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9481190"/>
    <w:multiLevelType w:val="hybridMultilevel"/>
    <w:tmpl w:val="7F92A330"/>
    <w:lvl w:ilvl="0" w:tplc="E550F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44A"/>
    <w:rsid w:val="000D3C9F"/>
    <w:rsid w:val="00113F07"/>
    <w:rsid w:val="001569D6"/>
    <w:rsid w:val="002839A4"/>
    <w:rsid w:val="00286B70"/>
    <w:rsid w:val="002B2680"/>
    <w:rsid w:val="002C677F"/>
    <w:rsid w:val="00303322"/>
    <w:rsid w:val="003A154E"/>
    <w:rsid w:val="0047654F"/>
    <w:rsid w:val="0056744A"/>
    <w:rsid w:val="005B1493"/>
    <w:rsid w:val="0061188A"/>
    <w:rsid w:val="006803F6"/>
    <w:rsid w:val="00762CAD"/>
    <w:rsid w:val="00770D76"/>
    <w:rsid w:val="00791729"/>
    <w:rsid w:val="00796F23"/>
    <w:rsid w:val="008E428C"/>
    <w:rsid w:val="009030AF"/>
    <w:rsid w:val="009E4BE8"/>
    <w:rsid w:val="00A22761"/>
    <w:rsid w:val="00A50771"/>
    <w:rsid w:val="00AA1479"/>
    <w:rsid w:val="00B5291A"/>
    <w:rsid w:val="00B52DE7"/>
    <w:rsid w:val="00C608EB"/>
    <w:rsid w:val="00CB3E1E"/>
    <w:rsid w:val="00CD72A5"/>
    <w:rsid w:val="00D3068C"/>
    <w:rsid w:val="00E6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E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4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44A"/>
    <w:rPr>
      <w:sz w:val="20"/>
      <w:szCs w:val="20"/>
    </w:rPr>
  </w:style>
  <w:style w:type="character" w:styleId="Odwoanieprzypisudolnego">
    <w:name w:val="footnote reference"/>
    <w:basedOn w:val="Domylnaczcionkaakapitu"/>
    <w:rsid w:val="005674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0D7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762C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0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0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0A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8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6B70"/>
  </w:style>
  <w:style w:type="paragraph" w:styleId="Stopka">
    <w:name w:val="footer"/>
    <w:basedOn w:val="Normalny"/>
    <w:link w:val="StopkaZnak"/>
    <w:uiPriority w:val="99"/>
    <w:unhideWhenUsed/>
    <w:rsid w:val="0028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4CDBE-CB75-4CEC-A956-E04C421D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AGH_PPH</dc:creator>
  <cp:lastModifiedBy>AGH_PPH</cp:lastModifiedBy>
  <cp:revision>6</cp:revision>
  <dcterms:created xsi:type="dcterms:W3CDTF">2020-10-20T10:22:00Z</dcterms:created>
  <dcterms:modified xsi:type="dcterms:W3CDTF">2020-10-20T20:59:00Z</dcterms:modified>
</cp:coreProperties>
</file>