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A12" w:rsidRPr="00B328EB" w:rsidRDefault="005B318D" w:rsidP="00B328EB">
      <w:pPr>
        <w:spacing w:before="240" w:after="240"/>
        <w:jc w:val="center"/>
        <w:rPr>
          <w:b/>
          <w:sz w:val="28"/>
          <w:szCs w:val="28"/>
          <w:u w:val="double"/>
        </w:rPr>
      </w:pPr>
      <w:r>
        <w:rPr>
          <w:b/>
          <w:sz w:val="28"/>
          <w:szCs w:val="28"/>
          <w:u w:val="double"/>
        </w:rPr>
        <w:t>Bayesowski M</w:t>
      </w:r>
      <w:r w:rsidR="00D27A12" w:rsidRPr="00B328EB">
        <w:rPr>
          <w:b/>
          <w:sz w:val="28"/>
          <w:szCs w:val="28"/>
          <w:u w:val="double"/>
        </w:rPr>
        <w:t xml:space="preserve">odel </w:t>
      </w:r>
      <w:r>
        <w:rPr>
          <w:b/>
          <w:sz w:val="28"/>
          <w:szCs w:val="28"/>
          <w:u w:val="double"/>
        </w:rPr>
        <w:t>N</w:t>
      </w:r>
      <w:r w:rsidR="00D27A12" w:rsidRPr="00B328EB">
        <w:rPr>
          <w:b/>
          <w:sz w:val="28"/>
          <w:szCs w:val="28"/>
          <w:u w:val="double"/>
        </w:rPr>
        <w:t xml:space="preserve">ormalnej </w:t>
      </w:r>
      <w:r>
        <w:rPr>
          <w:b/>
          <w:sz w:val="28"/>
          <w:szCs w:val="28"/>
          <w:u w:val="double"/>
        </w:rPr>
        <w:t>R</w:t>
      </w:r>
      <w:r w:rsidR="00D27A12" w:rsidRPr="00B328EB">
        <w:rPr>
          <w:b/>
          <w:sz w:val="28"/>
          <w:szCs w:val="28"/>
          <w:u w:val="double"/>
        </w:rPr>
        <w:t xml:space="preserve">egresji </w:t>
      </w:r>
      <w:r>
        <w:rPr>
          <w:b/>
          <w:sz w:val="28"/>
          <w:szCs w:val="28"/>
          <w:u w:val="double"/>
        </w:rPr>
        <w:t>L</w:t>
      </w:r>
      <w:r w:rsidR="00D27A12" w:rsidRPr="00B328EB">
        <w:rPr>
          <w:b/>
          <w:sz w:val="28"/>
          <w:szCs w:val="28"/>
          <w:u w:val="double"/>
        </w:rPr>
        <w:t>iniowej – ćwiczenie</w:t>
      </w:r>
      <w:r w:rsidR="00D06752">
        <w:rPr>
          <w:b/>
          <w:sz w:val="28"/>
          <w:szCs w:val="28"/>
          <w:u w:val="double"/>
        </w:rPr>
        <w:t>: komentarz do wyników</w:t>
      </w:r>
    </w:p>
    <w:p w:rsidR="00017557" w:rsidRPr="00FE604D" w:rsidRDefault="00CC1D95" w:rsidP="005311B6">
      <w:pPr>
        <w:pStyle w:val="Akapitzlist"/>
        <w:numPr>
          <w:ilvl w:val="0"/>
          <w:numId w:val="1"/>
        </w:numPr>
        <w:spacing w:after="120"/>
        <w:contextualSpacing w:val="0"/>
        <w:rPr>
          <w:sz w:val="24"/>
          <w:szCs w:val="24"/>
        </w:rPr>
      </w:pPr>
      <w:r>
        <w:rPr>
          <w:sz w:val="24"/>
          <w:szCs w:val="24"/>
        </w:rPr>
        <w:t>Przypomnijmy równanie leżące u podstaw modelu próbkowego:</w:t>
      </w:r>
    </w:p>
    <w:p w:rsidR="00017557" w:rsidRPr="00FE604D" w:rsidRDefault="00094BF5" w:rsidP="005311B6">
      <w:pPr>
        <w:pStyle w:val="Akapitzlist"/>
        <w:spacing w:after="120"/>
        <w:contextualSpacing w:val="0"/>
        <w:jc w:val="center"/>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r>
          <w:rPr>
            <w:rFonts w:ascii="Cambria Math" w:hAnsi="Cambria Math"/>
            <w:sz w:val="24"/>
            <w:szCs w:val="24"/>
          </w:rPr>
          <m:t>t+</m:t>
        </m:r>
        <m:nary>
          <m:naryPr>
            <m:chr m:val="∑"/>
            <m:limLoc m:val="undOvr"/>
            <m:ctrlPr>
              <w:rPr>
                <w:rFonts w:ascii="Cambria Math" w:hAnsi="Cambria Math"/>
                <w:i/>
                <w:sz w:val="24"/>
                <w:szCs w:val="24"/>
              </w:rPr>
            </m:ctrlPr>
          </m:naryPr>
          <m:sub>
            <m:r>
              <w:rPr>
                <w:rFonts w:ascii="Cambria Math" w:hAnsi="Cambria Math"/>
                <w:sz w:val="24"/>
                <w:szCs w:val="24"/>
              </w:rPr>
              <m:t>i=2</m:t>
            </m:r>
          </m:sub>
          <m:sup>
            <m:r>
              <w:rPr>
                <w:rFonts w:ascii="Cambria Math" w:hAnsi="Cambria Math"/>
                <w:sz w:val="24"/>
                <w:szCs w:val="24"/>
              </w:rPr>
              <m:t>4</m:t>
            </m:r>
          </m:sup>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i</m:t>
                </m:r>
              </m:sub>
            </m:sSub>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ti</m:t>
                </m:r>
              </m:sub>
            </m:sSub>
          </m:e>
        </m:nary>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5</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t</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6</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t</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ε</m:t>
            </m:r>
          </m:e>
          <m:sub>
            <m:r>
              <w:rPr>
                <w:rFonts w:ascii="Cambria Math" w:eastAsiaTheme="minorEastAsia" w:hAnsi="Cambria Math"/>
                <w:sz w:val="24"/>
                <w:szCs w:val="24"/>
              </w:rPr>
              <m:t>t</m:t>
            </m:r>
          </m:sub>
        </m:sSub>
      </m:oMath>
      <w:r w:rsidR="00017557" w:rsidRPr="00FE604D">
        <w:rPr>
          <w:rFonts w:eastAsiaTheme="minorEastAsia"/>
          <w:sz w:val="24"/>
          <w:szCs w:val="24"/>
        </w:rPr>
        <w:t>,</w:t>
      </w:r>
      <w:r w:rsidR="00017557" w:rsidRPr="00FE604D">
        <w:rPr>
          <w:rFonts w:eastAsiaTheme="minorEastAsia"/>
          <w:sz w:val="24"/>
          <w:szCs w:val="24"/>
        </w:rPr>
        <w:tab/>
      </w:r>
      <m:oMath>
        <m:sSub>
          <m:sSubPr>
            <m:ctrlPr>
              <w:rPr>
                <w:rFonts w:ascii="Cambria Math" w:eastAsiaTheme="minorEastAsia" w:hAnsi="Cambria Math"/>
                <w:i/>
                <w:sz w:val="24"/>
                <w:szCs w:val="24"/>
              </w:rPr>
            </m:ctrlPr>
          </m:sSubPr>
          <m:e>
            <m:r>
              <w:rPr>
                <w:rFonts w:ascii="Cambria Math" w:eastAsiaTheme="minorEastAsia" w:hAnsi="Cambria Math"/>
                <w:sz w:val="24"/>
                <w:szCs w:val="24"/>
              </w:rPr>
              <m:t>ε</m:t>
            </m:r>
          </m:e>
          <m:sub>
            <m:r>
              <w:rPr>
                <w:rFonts w:ascii="Cambria Math" w:eastAsiaTheme="minorEastAsia" w:hAnsi="Cambria Math"/>
                <w:sz w:val="24"/>
                <w:szCs w:val="24"/>
              </w:rPr>
              <m:t>t</m:t>
            </m:r>
          </m:sub>
        </m:sSub>
        <m:r>
          <w:rPr>
            <w:rFonts w:ascii="Cambria Math" w:eastAsiaTheme="minorEastAsia" w:hAnsi="Cambria Math"/>
            <w:sz w:val="24"/>
            <w:szCs w:val="24"/>
          </w:rPr>
          <m:t xml:space="preserve">~iiN(0, </m:t>
        </m:r>
        <m:sSup>
          <m:sSupPr>
            <m:ctrlPr>
              <w:rPr>
                <w:rFonts w:ascii="Cambria Math" w:eastAsiaTheme="minorEastAsia" w:hAnsi="Cambria Math"/>
                <w:i/>
                <w:sz w:val="24"/>
                <w:szCs w:val="24"/>
              </w:rPr>
            </m:ctrlPr>
          </m:sSupPr>
          <m:e>
            <m:r>
              <w:rPr>
                <w:rFonts w:ascii="Cambria Math" w:eastAsiaTheme="minorEastAsia" w:hAnsi="Cambria Math"/>
                <w:sz w:val="24"/>
                <w:szCs w:val="24"/>
              </w:rPr>
              <m:t>τ</m:t>
            </m:r>
          </m:e>
          <m:sup>
            <m:r>
              <w:rPr>
                <w:rFonts w:ascii="Cambria Math" w:eastAsiaTheme="minorEastAsia" w:hAnsi="Cambria Math"/>
                <w:sz w:val="24"/>
                <w:szCs w:val="24"/>
              </w:rPr>
              <m:t>-1</m:t>
            </m:r>
          </m:sup>
        </m:sSup>
        <m:r>
          <w:rPr>
            <w:rFonts w:ascii="Cambria Math" w:eastAsiaTheme="minorEastAsia" w:hAnsi="Cambria Math"/>
            <w:sz w:val="24"/>
            <w:szCs w:val="24"/>
          </w:rPr>
          <m:t>)</m:t>
        </m:r>
      </m:oMath>
      <w:r w:rsidR="00017557" w:rsidRPr="00FE604D">
        <w:rPr>
          <w:rFonts w:eastAsiaTheme="minorEastAsia"/>
          <w:sz w:val="24"/>
          <w:szCs w:val="24"/>
        </w:rPr>
        <w:t>,</w:t>
      </w:r>
    </w:p>
    <w:p w:rsidR="00CC1D95" w:rsidRDefault="00017557" w:rsidP="005311B6">
      <w:pPr>
        <w:spacing w:after="120"/>
        <w:ind w:left="708"/>
        <w:rPr>
          <w:sz w:val="24"/>
          <w:szCs w:val="24"/>
        </w:rPr>
      </w:pPr>
      <w:r w:rsidRPr="00FE604D">
        <w:rPr>
          <w:sz w:val="24"/>
          <w:szCs w:val="24"/>
        </w:rPr>
        <w:t>gdzie</w:t>
      </w:r>
      <w:r w:rsidR="00CC1D95">
        <w:rPr>
          <w:sz w:val="24"/>
          <w:szCs w:val="24"/>
        </w:rPr>
        <w:t>:</w:t>
      </w:r>
    </w:p>
    <w:p w:rsidR="00CC1D95" w:rsidRPr="00283DF9" w:rsidRDefault="00094BF5" w:rsidP="00CC1D95">
      <w:pPr>
        <w:pStyle w:val="Akapitzlist"/>
        <w:numPr>
          <w:ilvl w:val="0"/>
          <w:numId w:val="4"/>
        </w:numPr>
        <w:spacing w:after="120"/>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t</m:t>
            </m:r>
          </m:sub>
        </m:sSub>
      </m:oMath>
      <w:r w:rsidR="00CC1D95">
        <w:rPr>
          <w:sz w:val="24"/>
          <w:szCs w:val="24"/>
        </w:rPr>
        <w:t xml:space="preserve"> – kwartalna wartość wypłat gotówki w bankomatach w Polsce (w mln zł),</w:t>
      </w:r>
    </w:p>
    <w:p w:rsidR="00283DF9" w:rsidRPr="00283DF9" w:rsidRDefault="00283DF9" w:rsidP="00CC1D95">
      <w:pPr>
        <w:pStyle w:val="Akapitzlist"/>
        <w:numPr>
          <w:ilvl w:val="0"/>
          <w:numId w:val="4"/>
        </w:numPr>
        <w:spacing w:after="120"/>
        <w:rPr>
          <w:rFonts w:ascii="Cambria Math" w:eastAsiaTheme="minorEastAsia" w:hAnsi="Cambria Math"/>
          <w:sz w:val="24"/>
          <w:szCs w:val="24"/>
          <w:oMath/>
        </w:rPr>
      </w:pPr>
      <m:oMath>
        <m:r>
          <w:rPr>
            <w:rFonts w:ascii="Cambria Math" w:eastAsiaTheme="minorEastAsia" w:hAnsi="Cambria Math"/>
            <w:sz w:val="24"/>
            <w:szCs w:val="24"/>
          </w:rPr>
          <m:t>t</m:t>
        </m:r>
      </m:oMath>
      <w:r>
        <w:rPr>
          <w:rFonts w:eastAsiaTheme="minorEastAsia"/>
          <w:sz w:val="24"/>
          <w:szCs w:val="24"/>
        </w:rPr>
        <w:t xml:space="preserve"> – zmienna czasowa (</w:t>
      </w:r>
      <m:oMath>
        <m:r>
          <w:rPr>
            <w:rFonts w:ascii="Cambria Math" w:eastAsiaTheme="minorEastAsia" w:hAnsi="Cambria Math"/>
            <w:sz w:val="24"/>
            <w:szCs w:val="24"/>
          </w:rPr>
          <m:t>t=1, 2, …, T</m:t>
        </m:r>
      </m:oMath>
      <w:r>
        <w:rPr>
          <w:rFonts w:eastAsiaTheme="minorEastAsia"/>
          <w:sz w:val="24"/>
          <w:szCs w:val="24"/>
        </w:rPr>
        <w:t>), której kolejne wartości oznaczają numery kolejnych obserwacji</w:t>
      </w:r>
      <w:r w:rsidR="009C775D">
        <w:rPr>
          <w:rFonts w:eastAsiaTheme="minorEastAsia"/>
          <w:sz w:val="24"/>
          <w:szCs w:val="24"/>
        </w:rPr>
        <w:t>,</w:t>
      </w:r>
    </w:p>
    <w:p w:rsidR="00283DF9" w:rsidRPr="00283DF9" w:rsidRDefault="00094BF5" w:rsidP="00283DF9">
      <w:pPr>
        <w:pStyle w:val="Akapitzlist"/>
        <w:numPr>
          <w:ilvl w:val="0"/>
          <w:numId w:val="4"/>
        </w:numPr>
        <w:spacing w:after="120"/>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ti</m:t>
            </m:r>
          </m:sub>
        </m:sSub>
        <m:r>
          <w:rPr>
            <w:rFonts w:ascii="Cambria Math" w:eastAsiaTheme="minorEastAsia" w:hAnsi="Cambria Math"/>
            <w:sz w:val="24"/>
            <w:szCs w:val="24"/>
          </w:rPr>
          <m:t xml:space="preserve"> (i=2, 3, 4)</m:t>
        </m:r>
      </m:oMath>
      <w:r w:rsidR="00283DF9" w:rsidRPr="00CC1D95">
        <w:rPr>
          <w:rFonts w:eastAsiaTheme="minorEastAsia"/>
          <w:sz w:val="24"/>
          <w:szCs w:val="24"/>
        </w:rPr>
        <w:t xml:space="preserve"> reprezentują zero-jedynkowe zmienne sezonowe odpowiadające kwartałom II </w:t>
      </w:r>
      <m:oMath>
        <m:r>
          <w:rPr>
            <w:rFonts w:ascii="Cambria Math" w:eastAsiaTheme="minorEastAsia" w:hAnsi="Cambria Math"/>
            <w:sz w:val="24"/>
            <w:szCs w:val="24"/>
          </w:rPr>
          <m:t>(i=2)</m:t>
        </m:r>
      </m:oMath>
      <w:r w:rsidR="00283DF9" w:rsidRPr="00CC1D95">
        <w:rPr>
          <w:rFonts w:eastAsiaTheme="minorEastAsia"/>
          <w:sz w:val="24"/>
          <w:szCs w:val="24"/>
        </w:rPr>
        <w:t xml:space="preserve">, III </w:t>
      </w:r>
      <m:oMath>
        <m:r>
          <w:rPr>
            <w:rFonts w:ascii="Cambria Math" w:eastAsiaTheme="minorEastAsia" w:hAnsi="Cambria Math"/>
            <w:sz w:val="24"/>
            <w:szCs w:val="24"/>
          </w:rPr>
          <m:t>(i=3)</m:t>
        </m:r>
      </m:oMath>
      <w:r w:rsidR="00283DF9" w:rsidRPr="00CC1D95">
        <w:rPr>
          <w:rFonts w:eastAsiaTheme="minorEastAsia"/>
          <w:sz w:val="24"/>
          <w:szCs w:val="24"/>
        </w:rPr>
        <w:t xml:space="preserve"> i IV </w:t>
      </w:r>
      <m:oMath>
        <m:r>
          <w:rPr>
            <w:rFonts w:ascii="Cambria Math" w:eastAsiaTheme="minorEastAsia" w:hAnsi="Cambria Math"/>
            <w:sz w:val="24"/>
            <w:szCs w:val="24"/>
          </w:rPr>
          <m:t>(i=4)</m:t>
        </m:r>
      </m:oMath>
      <w:r w:rsidR="00283DF9">
        <w:rPr>
          <w:rFonts w:eastAsiaTheme="minorEastAsia"/>
          <w:sz w:val="24"/>
          <w:szCs w:val="24"/>
        </w:rPr>
        <w:t>,</w:t>
      </w:r>
    </w:p>
    <w:p w:rsidR="00CC1D95" w:rsidRPr="00CC1D95" w:rsidRDefault="00094BF5" w:rsidP="00CC1D95">
      <w:pPr>
        <w:pStyle w:val="Akapitzlist"/>
        <w:numPr>
          <w:ilvl w:val="0"/>
          <w:numId w:val="4"/>
        </w:numPr>
        <w:spacing w:after="120"/>
        <w:rPr>
          <w:rFonts w:ascii="Cambria Math" w:eastAsiaTheme="minorEastAsia" w:hAnsi="Cambria Math"/>
          <w:sz w:val="24"/>
          <w:szCs w:val="24"/>
          <w:oMath/>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t</m:t>
            </m:r>
          </m:sub>
        </m:sSub>
      </m:oMath>
      <w:r w:rsidR="00CC1D95">
        <w:rPr>
          <w:rFonts w:eastAsiaTheme="minorEastAsia"/>
          <w:sz w:val="24"/>
          <w:szCs w:val="24"/>
        </w:rPr>
        <w:t xml:space="preserve"> – </w:t>
      </w:r>
      <w:r w:rsidR="00CC1D95" w:rsidRPr="00CC1D95">
        <w:rPr>
          <w:rFonts w:eastAsiaTheme="minorEastAsia"/>
          <w:sz w:val="24"/>
          <w:szCs w:val="24"/>
        </w:rPr>
        <w:t>liczba bankomatów w Polsce (w setkach szt.)</w:t>
      </w:r>
      <w:r w:rsidR="00CC1D95">
        <w:rPr>
          <w:rFonts w:eastAsiaTheme="minorEastAsia"/>
          <w:sz w:val="24"/>
          <w:szCs w:val="24"/>
        </w:rPr>
        <w:t>,</w:t>
      </w:r>
    </w:p>
    <w:p w:rsidR="00CC1D95" w:rsidRPr="00CC1D95" w:rsidRDefault="00094BF5" w:rsidP="00CC1D95">
      <w:pPr>
        <w:pStyle w:val="Akapitzlist"/>
        <w:numPr>
          <w:ilvl w:val="0"/>
          <w:numId w:val="4"/>
        </w:numPr>
        <w:spacing w:after="120"/>
        <w:rPr>
          <w:rFonts w:ascii="Cambria Math" w:eastAsiaTheme="minorEastAsia" w:hAnsi="Cambria Math"/>
          <w:sz w:val="24"/>
          <w:szCs w:val="24"/>
          <w:oMath/>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t</m:t>
            </m:r>
          </m:sub>
        </m:sSub>
      </m:oMath>
      <w:r w:rsidR="00CC1D95">
        <w:rPr>
          <w:rFonts w:eastAsiaTheme="minorEastAsia"/>
          <w:sz w:val="24"/>
          <w:szCs w:val="24"/>
        </w:rPr>
        <w:t xml:space="preserve"> – </w:t>
      </w:r>
      <w:r w:rsidR="00CC1D95" w:rsidRPr="00CC1D95">
        <w:rPr>
          <w:rFonts w:eastAsiaTheme="minorEastAsia"/>
          <w:sz w:val="24"/>
          <w:szCs w:val="24"/>
        </w:rPr>
        <w:t>liczba wydanych kart płatniczych (w tys. szt.)</w:t>
      </w:r>
      <w:r w:rsidR="00283DF9">
        <w:rPr>
          <w:rFonts w:eastAsiaTheme="minorEastAsia"/>
          <w:sz w:val="24"/>
          <w:szCs w:val="24"/>
        </w:rPr>
        <w:t>.</w:t>
      </w:r>
    </w:p>
    <w:p w:rsidR="00DE42C6" w:rsidRPr="00DE42C6" w:rsidRDefault="001F3644" w:rsidP="009C775D">
      <w:pPr>
        <w:pStyle w:val="Akapitzlist"/>
        <w:numPr>
          <w:ilvl w:val="0"/>
          <w:numId w:val="1"/>
        </w:numPr>
        <w:spacing w:after="120"/>
        <w:rPr>
          <w:sz w:val="24"/>
          <w:szCs w:val="24"/>
        </w:rPr>
      </w:pPr>
      <w:r>
        <w:rPr>
          <w:sz w:val="24"/>
          <w:szCs w:val="24"/>
        </w:rPr>
        <w:t xml:space="preserve">Liczba obserwacji: </w:t>
      </w:r>
      <m:oMath>
        <m:r>
          <w:rPr>
            <w:rFonts w:ascii="Cambria Math" w:hAnsi="Cambria Math"/>
            <w:sz w:val="24"/>
            <w:szCs w:val="24"/>
          </w:rPr>
          <m:t>T=60</m:t>
        </m:r>
      </m:oMath>
    </w:p>
    <w:p w:rsidR="001F3644" w:rsidRPr="001F3644" w:rsidRDefault="002743FA" w:rsidP="00DE42C6">
      <w:pPr>
        <w:pStyle w:val="Akapitzlist"/>
        <w:spacing w:after="120"/>
        <w:rPr>
          <w:sz w:val="24"/>
          <w:szCs w:val="24"/>
        </w:rPr>
      </w:pPr>
      <w:r>
        <w:rPr>
          <w:rFonts w:eastAsiaTheme="minorEastAsia"/>
          <w:sz w:val="24"/>
          <w:szCs w:val="24"/>
        </w:rPr>
        <w:t>L</w:t>
      </w:r>
      <w:r w:rsidR="001F3644">
        <w:rPr>
          <w:rFonts w:eastAsiaTheme="minorEastAsia"/>
          <w:sz w:val="24"/>
          <w:szCs w:val="24"/>
        </w:rPr>
        <w:t>iczba parametrów strukturalnych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i</m:t>
            </m:r>
          </m:sub>
        </m:sSub>
      </m:oMath>
      <w:r w:rsidR="001F3644">
        <w:rPr>
          <w:rFonts w:eastAsiaTheme="minorEastAsia"/>
          <w:sz w:val="24"/>
          <w:szCs w:val="24"/>
        </w:rPr>
        <w:t xml:space="preserve">): </w:t>
      </w:r>
      <m:oMath>
        <m:r>
          <w:rPr>
            <w:rFonts w:ascii="Cambria Math" w:eastAsiaTheme="minorEastAsia" w:hAnsi="Cambria Math"/>
            <w:sz w:val="24"/>
            <w:szCs w:val="24"/>
          </w:rPr>
          <m:t>k=7</m:t>
        </m:r>
      </m:oMath>
      <w:r>
        <w:rPr>
          <w:rFonts w:eastAsiaTheme="minorEastAsia"/>
          <w:sz w:val="24"/>
          <w:szCs w:val="24"/>
        </w:rPr>
        <w:t xml:space="preserve"> (łącznie z wyrazem wolnym)</w:t>
      </w:r>
    </w:p>
    <w:p w:rsidR="001F3644" w:rsidRPr="001F3644" w:rsidRDefault="002743FA" w:rsidP="001F3644">
      <w:pPr>
        <w:pStyle w:val="Akapitzlist"/>
        <w:spacing w:after="120"/>
        <w:rPr>
          <w:sz w:val="24"/>
          <w:szCs w:val="24"/>
        </w:rPr>
      </w:pPr>
      <w:r>
        <w:rPr>
          <w:rFonts w:eastAsiaTheme="minorEastAsia"/>
          <w:sz w:val="24"/>
          <w:szCs w:val="24"/>
        </w:rPr>
        <w:t>L</w:t>
      </w:r>
      <w:r w:rsidR="001F3644">
        <w:rPr>
          <w:rFonts w:eastAsiaTheme="minorEastAsia"/>
          <w:sz w:val="24"/>
          <w:szCs w:val="24"/>
        </w:rPr>
        <w:t xml:space="preserve">iczba wszystkich parametrów modelu (łącznie z parametrem zakłócającym; ang. </w:t>
      </w:r>
      <w:proofErr w:type="spellStart"/>
      <w:r w:rsidR="001F3644">
        <w:rPr>
          <w:rFonts w:eastAsiaTheme="minorEastAsia"/>
          <w:i/>
          <w:sz w:val="24"/>
          <w:szCs w:val="24"/>
        </w:rPr>
        <w:t>nuisance</w:t>
      </w:r>
      <w:proofErr w:type="spellEnd"/>
      <w:r w:rsidR="001F3644">
        <w:rPr>
          <w:rFonts w:eastAsiaTheme="minorEastAsia"/>
          <w:i/>
          <w:sz w:val="24"/>
          <w:szCs w:val="24"/>
        </w:rPr>
        <w:t xml:space="preserve"> </w:t>
      </w:r>
      <w:proofErr w:type="spellStart"/>
      <w:r w:rsidR="001F3644">
        <w:rPr>
          <w:rFonts w:eastAsiaTheme="minorEastAsia"/>
          <w:i/>
          <w:sz w:val="24"/>
          <w:szCs w:val="24"/>
        </w:rPr>
        <w:t>parameter</w:t>
      </w:r>
      <w:proofErr w:type="spellEnd"/>
      <w:r w:rsidR="001F3644">
        <w:rPr>
          <w:rFonts w:eastAsiaTheme="minorEastAsia"/>
          <w:sz w:val="24"/>
          <w:szCs w:val="24"/>
        </w:rPr>
        <w:t xml:space="preserve">, którym jest </w:t>
      </w:r>
      <m:oMath>
        <m:r>
          <w:rPr>
            <w:rFonts w:ascii="Cambria Math" w:eastAsiaTheme="minorEastAsia" w:hAnsi="Cambria Math"/>
            <w:sz w:val="24"/>
            <w:szCs w:val="24"/>
          </w:rPr>
          <m:t>τ</m:t>
        </m:r>
      </m:oMath>
      <w:r w:rsidR="001F3644">
        <w:rPr>
          <w:rFonts w:eastAsiaTheme="minorEastAsia"/>
          <w:sz w:val="24"/>
          <w:szCs w:val="24"/>
        </w:rPr>
        <w:t xml:space="preserve">): </w:t>
      </w:r>
      <m:oMath>
        <m:r>
          <w:rPr>
            <w:rFonts w:ascii="Cambria Math" w:eastAsiaTheme="minorEastAsia" w:hAnsi="Cambria Math"/>
            <w:sz w:val="24"/>
            <w:szCs w:val="24"/>
          </w:rPr>
          <m:t>k+1=8</m:t>
        </m:r>
      </m:oMath>
    </w:p>
    <w:p w:rsidR="008078F3" w:rsidRPr="009C775D" w:rsidRDefault="009C775D" w:rsidP="009C775D">
      <w:pPr>
        <w:pStyle w:val="Akapitzlist"/>
        <w:numPr>
          <w:ilvl w:val="0"/>
          <w:numId w:val="1"/>
        </w:numPr>
        <w:spacing w:after="120"/>
        <w:rPr>
          <w:sz w:val="24"/>
          <w:szCs w:val="24"/>
        </w:rPr>
      </w:pPr>
      <w:r>
        <w:rPr>
          <w:rFonts w:eastAsiaTheme="minorEastAsia"/>
          <w:sz w:val="24"/>
          <w:szCs w:val="24"/>
        </w:rPr>
        <w:t xml:space="preserve">Przypomnijmy założenia odnośnie rozkładu </w:t>
      </w:r>
      <w:r>
        <w:rPr>
          <w:rFonts w:eastAsiaTheme="minorEastAsia"/>
          <w:i/>
          <w:sz w:val="24"/>
          <w:szCs w:val="24"/>
        </w:rPr>
        <w:t>a priori</w:t>
      </w:r>
      <w:r>
        <w:rPr>
          <w:rFonts w:eastAsiaTheme="minorEastAsia"/>
          <w:sz w:val="24"/>
          <w:szCs w:val="24"/>
        </w:rPr>
        <w:t>(</w:t>
      </w:r>
      <w:r>
        <w:rPr>
          <w:sz w:val="24"/>
          <w:szCs w:val="24"/>
        </w:rPr>
        <w:t>gamma-normalnego</w:t>
      </w:r>
      <w:r w:rsidR="005E6738" w:rsidRPr="009C775D">
        <w:rPr>
          <w:sz w:val="24"/>
          <w:szCs w:val="24"/>
        </w:rPr>
        <w:t xml:space="preserve"> </w:t>
      </w:r>
      <w:r w:rsidR="000C00CE" w:rsidRPr="009C775D">
        <w:rPr>
          <w:sz w:val="24"/>
          <w:szCs w:val="24"/>
        </w:rPr>
        <w:t>z </w:t>
      </w:r>
      <w:r w:rsidR="005E6738" w:rsidRPr="009C775D">
        <w:rPr>
          <w:sz w:val="24"/>
          <w:szCs w:val="24"/>
        </w:rPr>
        <w:t xml:space="preserve">zależnością pomiędzy </w:t>
      </w:r>
      <m:oMath>
        <m:r>
          <w:rPr>
            <w:rFonts w:ascii="Cambria Math" w:hAnsi="Cambria Math"/>
            <w:sz w:val="24"/>
            <w:szCs w:val="24"/>
          </w:rPr>
          <m:t>β</m:t>
        </m:r>
      </m:oMath>
      <w:r w:rsidR="005E6738" w:rsidRPr="009C775D">
        <w:rPr>
          <w:rFonts w:eastAsiaTheme="minorEastAsia"/>
          <w:sz w:val="24"/>
          <w:szCs w:val="24"/>
        </w:rPr>
        <w:t xml:space="preserve"> i </w:t>
      </w:r>
      <m:oMath>
        <m:r>
          <w:rPr>
            <w:rFonts w:ascii="Cambria Math" w:eastAsiaTheme="minorEastAsia" w:hAnsi="Cambria Math"/>
            <w:sz w:val="24"/>
            <w:szCs w:val="24"/>
          </w:rPr>
          <m:t>τ</m:t>
        </m:r>
      </m:oMath>
      <w:r>
        <w:rPr>
          <w:rFonts w:eastAsiaTheme="minorEastAsia"/>
          <w:sz w:val="24"/>
          <w:szCs w:val="24"/>
        </w:rPr>
        <w:t>):</w:t>
      </w:r>
    </w:p>
    <w:p w:rsidR="005E6738" w:rsidRPr="00FE604D" w:rsidRDefault="002C6BD7" w:rsidP="00B56DD3">
      <w:pPr>
        <w:pStyle w:val="Akapitzlist"/>
        <w:numPr>
          <w:ilvl w:val="1"/>
          <w:numId w:val="2"/>
        </w:numPr>
        <w:spacing w:after="120"/>
        <w:ind w:left="1276" w:hanging="283"/>
        <w:contextualSpacing w:val="0"/>
        <w:rPr>
          <w:sz w:val="24"/>
          <w:szCs w:val="24"/>
        </w:rPr>
      </w:pPr>
      <m:oMath>
        <m:r>
          <w:rPr>
            <w:rFonts w:ascii="Cambria Math" w:eastAsiaTheme="minorEastAsia" w:hAnsi="Cambria Math"/>
            <w:sz w:val="24"/>
            <w:szCs w:val="24"/>
          </w:rPr>
          <m:t>E</m:t>
        </m:r>
        <m:d>
          <m:dPr>
            <m:ctrlPr>
              <w:rPr>
                <w:rFonts w:ascii="Cambria Math" w:eastAsiaTheme="minorEastAsia" w:hAnsi="Cambria Math"/>
                <w:i/>
                <w:sz w:val="24"/>
                <w:szCs w:val="24"/>
              </w:rPr>
            </m:ctrlPr>
          </m:dPr>
          <m:e>
            <m:r>
              <w:rPr>
                <w:rFonts w:ascii="Cambria Math" w:eastAsiaTheme="minorEastAsia" w:hAnsi="Cambria Math"/>
                <w:sz w:val="24"/>
                <w:szCs w:val="24"/>
              </w:rPr>
              <m:t>τ</m:t>
            </m:r>
          </m:e>
        </m:d>
        <m:r>
          <w:rPr>
            <w:rFonts w:ascii="Cambria Math" w:eastAsiaTheme="minorEastAsia" w:hAnsi="Cambria Math"/>
            <w:sz w:val="24"/>
            <w:szCs w:val="24"/>
          </w:rPr>
          <m:t>=1, Var</m:t>
        </m:r>
        <m:d>
          <m:dPr>
            <m:ctrlPr>
              <w:rPr>
                <w:rFonts w:ascii="Cambria Math" w:eastAsiaTheme="minorEastAsia" w:hAnsi="Cambria Math"/>
                <w:i/>
                <w:sz w:val="24"/>
                <w:szCs w:val="24"/>
              </w:rPr>
            </m:ctrlPr>
          </m:dPr>
          <m:e>
            <m:r>
              <w:rPr>
                <w:rFonts w:ascii="Cambria Math" w:eastAsiaTheme="minorEastAsia" w:hAnsi="Cambria Math"/>
                <w:sz w:val="24"/>
                <w:szCs w:val="24"/>
              </w:rPr>
              <m:t>τ</m:t>
            </m:r>
          </m:e>
        </m:d>
        <m:r>
          <w:rPr>
            <w:rFonts w:ascii="Cambria Math" w:eastAsiaTheme="minorEastAsia" w:hAnsi="Cambria Math"/>
            <w:sz w:val="24"/>
            <w:szCs w:val="24"/>
          </w:rPr>
          <m:t>=0,5</m:t>
        </m:r>
      </m:oMath>
    </w:p>
    <w:p w:rsidR="008078F3" w:rsidRPr="00CB2366" w:rsidRDefault="00E660FF" w:rsidP="00B56DD3">
      <w:pPr>
        <w:pStyle w:val="Akapitzlist"/>
        <w:numPr>
          <w:ilvl w:val="1"/>
          <w:numId w:val="2"/>
        </w:numPr>
        <w:spacing w:after="120"/>
        <w:ind w:left="1276" w:hanging="283"/>
        <w:contextualSpacing w:val="0"/>
        <w:rPr>
          <w:sz w:val="24"/>
          <w:szCs w:val="24"/>
        </w:rPr>
      </w:pPr>
      <m:oMath>
        <m:r>
          <w:rPr>
            <w:rFonts w:ascii="Cambria Math" w:eastAsiaTheme="minorEastAsia" w:hAnsi="Cambria Math"/>
            <w:sz w:val="24"/>
            <w:szCs w:val="24"/>
          </w:rPr>
          <m:t>E</m:t>
        </m:r>
        <m:d>
          <m:dPr>
            <m:ctrlPr>
              <w:rPr>
                <w:rFonts w:ascii="Cambria Math" w:eastAsiaTheme="minorEastAsia" w:hAnsi="Cambria Math"/>
                <w:i/>
                <w:sz w:val="24"/>
                <w:szCs w:val="24"/>
              </w:rPr>
            </m:ctrlPr>
          </m:dPr>
          <m:e>
            <m:r>
              <w:rPr>
                <w:rFonts w:ascii="Cambria Math" w:eastAsiaTheme="minorEastAsia" w:hAnsi="Cambria Math"/>
                <w:sz w:val="24"/>
                <w:szCs w:val="24"/>
              </w:rPr>
              <m:t>β</m:t>
            </m:r>
          </m:e>
        </m:d>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0</m:t>
            </m:r>
          </m:e>
          <m:sub>
            <m:r>
              <w:rPr>
                <w:rFonts w:ascii="Cambria Math" w:eastAsiaTheme="minorEastAsia" w:hAnsi="Cambria Math"/>
                <w:sz w:val="24"/>
                <w:szCs w:val="24"/>
              </w:rPr>
              <m:t>(k×1)</m:t>
            </m:r>
          </m:sub>
        </m:sSub>
      </m:oMath>
      <w:r w:rsidR="008078F3" w:rsidRPr="00FE604D">
        <w:rPr>
          <w:rFonts w:eastAsiaTheme="minorEastAsia"/>
          <w:sz w:val="24"/>
          <w:szCs w:val="24"/>
        </w:rPr>
        <w:t xml:space="preserve"> i </w:t>
      </w:r>
      <m:oMath>
        <m:r>
          <w:rPr>
            <w:rFonts w:ascii="Cambria Math" w:hAnsi="Cambria Math"/>
            <w:sz w:val="24"/>
            <w:szCs w:val="24"/>
          </w:rPr>
          <m:t>V</m:t>
        </m:r>
        <m:d>
          <m:dPr>
            <m:ctrlPr>
              <w:rPr>
                <w:rFonts w:ascii="Cambria Math" w:hAnsi="Cambria Math"/>
                <w:i/>
                <w:sz w:val="24"/>
                <w:szCs w:val="24"/>
              </w:rPr>
            </m:ctrlPr>
          </m:dPr>
          <m:e>
            <m:r>
              <w:rPr>
                <w:rFonts w:ascii="Cambria Math" w:hAnsi="Cambria Math"/>
                <w:sz w:val="24"/>
                <w:szCs w:val="24"/>
              </w:rPr>
              <m:t>β</m:t>
            </m:r>
          </m:e>
        </m:d>
        <m:r>
          <w:rPr>
            <w:rFonts w:ascii="Cambria Math" w:hAnsi="Cambria Math"/>
            <w:sz w:val="24"/>
            <w:szCs w:val="24"/>
          </w:rPr>
          <m:t>=100</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k</m:t>
            </m:r>
          </m:sub>
        </m:sSub>
      </m:oMath>
      <w:r w:rsidR="001F3644">
        <w:rPr>
          <w:rFonts w:eastAsiaTheme="minorEastAsia"/>
          <w:sz w:val="24"/>
          <w:szCs w:val="24"/>
        </w:rPr>
        <w:t xml:space="preserve">, co oznacza, że </w:t>
      </w:r>
      <m:oMath>
        <m:r>
          <w:rPr>
            <w:rFonts w:ascii="Cambria Math" w:eastAsiaTheme="minorEastAsia" w:hAnsi="Cambria Math"/>
            <w:sz w:val="24"/>
            <w:szCs w:val="24"/>
          </w:rPr>
          <m:t>E</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i</m:t>
                </m:r>
              </m:sub>
            </m:sSub>
          </m:e>
        </m:d>
        <m:r>
          <w:rPr>
            <w:rFonts w:ascii="Cambria Math" w:eastAsiaTheme="minorEastAsia" w:hAnsi="Cambria Math"/>
            <w:sz w:val="24"/>
            <w:szCs w:val="24"/>
          </w:rPr>
          <m:t>=0</m:t>
        </m:r>
      </m:oMath>
      <w:r w:rsidR="001F3644">
        <w:rPr>
          <w:rFonts w:eastAsiaTheme="minorEastAsia"/>
          <w:sz w:val="24"/>
          <w:szCs w:val="24"/>
        </w:rPr>
        <w:t xml:space="preserve"> (dla każdego </w:t>
      </w:r>
      <m:oMath>
        <m:r>
          <w:rPr>
            <w:rFonts w:ascii="Cambria Math" w:eastAsiaTheme="minorEastAsia" w:hAnsi="Cambria Math"/>
            <w:sz w:val="24"/>
            <w:szCs w:val="24"/>
          </w:rPr>
          <m:t>i=0, 1,…, 6=k-1</m:t>
        </m:r>
      </m:oMath>
      <w:r w:rsidR="001F3644" w:rsidRPr="001F3644">
        <w:rPr>
          <w:rFonts w:eastAsiaTheme="minorEastAsia"/>
          <w:sz w:val="24"/>
          <w:szCs w:val="24"/>
        </w:rPr>
        <w:t>)</w:t>
      </w:r>
      <w:r w:rsidR="008078F3" w:rsidRPr="00FE604D">
        <w:rPr>
          <w:rFonts w:eastAsiaTheme="minorEastAsia"/>
          <w:sz w:val="24"/>
          <w:szCs w:val="24"/>
        </w:rPr>
        <w:t xml:space="preserve"> </w:t>
      </w:r>
      <w:r w:rsidR="00CB2366">
        <w:rPr>
          <w:rFonts w:eastAsiaTheme="minorEastAsia"/>
          <w:sz w:val="24"/>
          <w:szCs w:val="24"/>
        </w:rPr>
        <w:t>i </w:t>
      </w:r>
      <m:oMath>
        <m:r>
          <w:rPr>
            <w:rFonts w:ascii="Cambria Math" w:eastAsiaTheme="minorEastAsia" w:hAnsi="Cambria Math"/>
            <w:sz w:val="24"/>
            <w:szCs w:val="24"/>
          </w:rPr>
          <m:t>Var</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i</m:t>
                </m:r>
              </m:sub>
            </m:sSub>
          </m:e>
        </m:d>
        <m:r>
          <w:rPr>
            <w:rFonts w:ascii="Cambria Math" w:eastAsiaTheme="minorEastAsia" w:hAnsi="Cambria Math"/>
            <w:sz w:val="24"/>
            <w:szCs w:val="24"/>
          </w:rPr>
          <m:t>=100</m:t>
        </m:r>
      </m:oMath>
      <w:r w:rsidR="008078F3" w:rsidRPr="00FE604D">
        <w:rPr>
          <w:rFonts w:eastAsiaTheme="minorEastAsia"/>
          <w:sz w:val="24"/>
          <w:szCs w:val="24"/>
        </w:rPr>
        <w:t xml:space="preserve">, </w:t>
      </w:r>
      <m:oMath>
        <m:r>
          <w:rPr>
            <w:rFonts w:ascii="Cambria Math" w:eastAsiaTheme="minorEastAsia" w:hAnsi="Cambria Math"/>
            <w:sz w:val="24"/>
            <w:szCs w:val="24"/>
          </w:rPr>
          <m:t>i=0, 1,…, k-1</m:t>
        </m:r>
      </m:oMath>
      <w:r>
        <w:rPr>
          <w:rFonts w:eastAsiaTheme="minorEastAsia"/>
          <w:sz w:val="24"/>
          <w:szCs w:val="24"/>
        </w:rPr>
        <w:t xml:space="preserve">, oraz </w:t>
      </w:r>
      <m:oMath>
        <m:r>
          <w:rPr>
            <w:rFonts w:ascii="Cambria Math" w:eastAsiaTheme="minorEastAsia" w:hAnsi="Cambria Math"/>
            <w:sz w:val="24"/>
            <w:szCs w:val="24"/>
          </w:rPr>
          <m:t>Cov</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i</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j</m:t>
                </m:r>
              </m:sub>
            </m:sSub>
          </m:e>
        </m:d>
        <m:r>
          <w:rPr>
            <w:rFonts w:ascii="Cambria Math" w:eastAsiaTheme="minorEastAsia" w:hAnsi="Cambria Math"/>
            <w:sz w:val="24"/>
            <w:szCs w:val="24"/>
          </w:rPr>
          <m:t>=0</m:t>
        </m:r>
      </m:oMath>
      <w:r>
        <w:rPr>
          <w:rFonts w:eastAsiaTheme="minorEastAsia"/>
          <w:sz w:val="24"/>
          <w:szCs w:val="24"/>
        </w:rPr>
        <w:t xml:space="preserve">, </w:t>
      </w:r>
      <m:oMath>
        <m:r>
          <w:rPr>
            <w:rFonts w:ascii="Cambria Math" w:eastAsiaTheme="minorEastAsia" w:hAnsi="Cambria Math"/>
            <w:sz w:val="24"/>
            <w:szCs w:val="24"/>
          </w:rPr>
          <m:t>i≠j</m:t>
        </m:r>
      </m:oMath>
    </w:p>
    <w:p w:rsidR="009F66EF" w:rsidRDefault="009F66EF" w:rsidP="009F66EF">
      <w:pPr>
        <w:pStyle w:val="Akapitzlist"/>
        <w:numPr>
          <w:ilvl w:val="0"/>
          <w:numId w:val="1"/>
        </w:numPr>
        <w:spacing w:after="120"/>
        <w:rPr>
          <w:sz w:val="24"/>
          <w:szCs w:val="24"/>
        </w:rPr>
      </w:pPr>
      <w:r>
        <w:rPr>
          <w:sz w:val="24"/>
          <w:szCs w:val="24"/>
        </w:rPr>
        <w:t xml:space="preserve">Wykaz charakterystyk brzegowych rozkładów </w:t>
      </w:r>
      <w:r>
        <w:rPr>
          <w:i/>
          <w:sz w:val="24"/>
          <w:szCs w:val="24"/>
        </w:rPr>
        <w:t>a posteriori</w:t>
      </w:r>
      <w:r>
        <w:rPr>
          <w:sz w:val="24"/>
          <w:szCs w:val="24"/>
        </w:rPr>
        <w:t xml:space="preserve">, które należało uzyskać i porównać na tle ich odpowiedników w rozkładach </w:t>
      </w:r>
      <w:r>
        <w:rPr>
          <w:i/>
          <w:sz w:val="24"/>
          <w:szCs w:val="24"/>
        </w:rPr>
        <w:t>a priori</w:t>
      </w:r>
      <w:r>
        <w:rPr>
          <w:sz w:val="24"/>
          <w:szCs w:val="24"/>
        </w:rPr>
        <w:t>:</w:t>
      </w:r>
    </w:p>
    <w:p w:rsidR="000164B4" w:rsidRDefault="000164B4" w:rsidP="009F66EF">
      <w:pPr>
        <w:pStyle w:val="Akapitzlist"/>
        <w:numPr>
          <w:ilvl w:val="0"/>
          <w:numId w:val="5"/>
        </w:numPr>
        <w:spacing w:after="120"/>
        <w:rPr>
          <w:sz w:val="24"/>
          <w:szCs w:val="24"/>
        </w:rPr>
      </w:pPr>
      <w:r w:rsidRPr="009F66EF">
        <w:rPr>
          <w:sz w:val="24"/>
          <w:szCs w:val="24"/>
        </w:rPr>
        <w:t>wartoś</w:t>
      </w:r>
      <w:r w:rsidR="00654628" w:rsidRPr="009F66EF">
        <w:rPr>
          <w:sz w:val="24"/>
          <w:szCs w:val="24"/>
        </w:rPr>
        <w:t>ci oczekiwane, mediany, modalne</w:t>
      </w:r>
      <w:r w:rsidR="009F66EF">
        <w:rPr>
          <w:sz w:val="24"/>
          <w:szCs w:val="24"/>
        </w:rPr>
        <w:t xml:space="preserve"> (dla danego parametru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i</m:t>
            </m:r>
          </m:sub>
        </m:sSub>
      </m:oMath>
      <w:r w:rsidR="009F66EF">
        <w:rPr>
          <w:rFonts w:eastAsiaTheme="minorEastAsia"/>
          <w:sz w:val="24"/>
          <w:szCs w:val="24"/>
        </w:rPr>
        <w:t xml:space="preserve">, wszystkie są </w:t>
      </w:r>
      <w:r w:rsidR="009F66EF">
        <w:rPr>
          <w:sz w:val="24"/>
          <w:szCs w:val="24"/>
        </w:rPr>
        <w:t>sobie równe)</w:t>
      </w:r>
    </w:p>
    <w:p w:rsidR="00654628" w:rsidRDefault="009F66EF" w:rsidP="009F66EF">
      <w:pPr>
        <w:pStyle w:val="Akapitzlist"/>
        <w:numPr>
          <w:ilvl w:val="0"/>
          <w:numId w:val="5"/>
        </w:numPr>
        <w:spacing w:after="120"/>
        <w:rPr>
          <w:sz w:val="24"/>
          <w:szCs w:val="24"/>
        </w:rPr>
      </w:pPr>
      <w:r>
        <w:rPr>
          <w:sz w:val="24"/>
          <w:szCs w:val="24"/>
        </w:rPr>
        <w:t>odchylenia</w:t>
      </w:r>
      <w:r w:rsidR="00654628" w:rsidRPr="009F66EF">
        <w:rPr>
          <w:sz w:val="24"/>
          <w:szCs w:val="24"/>
        </w:rPr>
        <w:t xml:space="preserve"> standardowe</w:t>
      </w:r>
      <w:r>
        <w:rPr>
          <w:sz w:val="24"/>
          <w:szCs w:val="24"/>
        </w:rPr>
        <w:t>,</w:t>
      </w:r>
    </w:p>
    <w:p w:rsidR="00654628" w:rsidRDefault="00654628" w:rsidP="009F66EF">
      <w:pPr>
        <w:pStyle w:val="Akapitzlist"/>
        <w:numPr>
          <w:ilvl w:val="0"/>
          <w:numId w:val="5"/>
        </w:numPr>
        <w:spacing w:after="120"/>
        <w:rPr>
          <w:sz w:val="24"/>
          <w:szCs w:val="24"/>
        </w:rPr>
      </w:pPr>
      <w:r w:rsidRPr="009F66EF">
        <w:rPr>
          <w:sz w:val="24"/>
          <w:szCs w:val="24"/>
        </w:rPr>
        <w:t xml:space="preserve">przedziały najwyższej gęstości </w:t>
      </w:r>
      <w:r w:rsidRPr="009F66EF">
        <w:rPr>
          <w:i/>
          <w:sz w:val="24"/>
          <w:szCs w:val="24"/>
        </w:rPr>
        <w:t>a posteriori</w:t>
      </w:r>
      <w:r w:rsidRPr="009F66EF">
        <w:rPr>
          <w:sz w:val="24"/>
          <w:szCs w:val="24"/>
        </w:rPr>
        <w:t xml:space="preserve"> (dla poziomu prawdopodobieństwa 0,95)</w:t>
      </w:r>
    </w:p>
    <w:p w:rsidR="00867AEC" w:rsidRPr="009F66EF" w:rsidRDefault="00D66064" w:rsidP="009F66EF">
      <w:pPr>
        <w:pStyle w:val="Akapitzlist"/>
        <w:numPr>
          <w:ilvl w:val="0"/>
          <w:numId w:val="5"/>
        </w:numPr>
        <w:spacing w:after="120"/>
        <w:rPr>
          <w:sz w:val="24"/>
          <w:szCs w:val="24"/>
        </w:rPr>
      </w:pPr>
      <w:r w:rsidRPr="009F66EF">
        <w:rPr>
          <w:sz w:val="24"/>
          <w:szCs w:val="24"/>
        </w:rPr>
        <w:t xml:space="preserve">wykres </w:t>
      </w:r>
      <w:r w:rsidR="009F66EF">
        <w:rPr>
          <w:sz w:val="24"/>
          <w:szCs w:val="24"/>
        </w:rPr>
        <w:t xml:space="preserve">funkcji </w:t>
      </w:r>
      <w:r w:rsidR="00867AEC" w:rsidRPr="009F66EF">
        <w:rPr>
          <w:sz w:val="24"/>
          <w:szCs w:val="24"/>
        </w:rPr>
        <w:t>gęstości rozkładów</w:t>
      </w:r>
      <w:r w:rsidRPr="009F66EF">
        <w:rPr>
          <w:sz w:val="24"/>
          <w:szCs w:val="24"/>
        </w:rPr>
        <w:t xml:space="preserve"> </w:t>
      </w:r>
      <w:r w:rsidR="002545E9" w:rsidRPr="009F66EF">
        <w:rPr>
          <w:i/>
          <w:sz w:val="24"/>
          <w:szCs w:val="24"/>
        </w:rPr>
        <w:t>a </w:t>
      </w:r>
      <w:r w:rsidRPr="009F66EF">
        <w:rPr>
          <w:i/>
          <w:sz w:val="24"/>
          <w:szCs w:val="24"/>
        </w:rPr>
        <w:t>posteriori</w:t>
      </w:r>
      <w:r w:rsidR="00511927" w:rsidRPr="009F66EF">
        <w:rPr>
          <w:sz w:val="24"/>
          <w:szCs w:val="24"/>
        </w:rPr>
        <w:t xml:space="preserve"> </w:t>
      </w:r>
      <w:r w:rsidR="00867AEC" w:rsidRPr="009F66EF">
        <w:rPr>
          <w:sz w:val="24"/>
          <w:szCs w:val="24"/>
        </w:rPr>
        <w:t xml:space="preserve">i </w:t>
      </w:r>
      <w:r w:rsidR="00867AEC" w:rsidRPr="009F66EF">
        <w:rPr>
          <w:i/>
          <w:sz w:val="24"/>
          <w:szCs w:val="24"/>
        </w:rPr>
        <w:t>a priori</w:t>
      </w:r>
      <w:r w:rsidR="002545E9" w:rsidRPr="009F66EF">
        <w:rPr>
          <w:i/>
          <w:sz w:val="24"/>
          <w:szCs w:val="24"/>
        </w:rPr>
        <w:t xml:space="preserve"> </w:t>
      </w:r>
      <w:r w:rsidR="002545E9" w:rsidRPr="009F66EF">
        <w:rPr>
          <w:sz w:val="24"/>
          <w:szCs w:val="24"/>
        </w:rPr>
        <w:t>(na tym samym wykresie)</w:t>
      </w:r>
      <w:r w:rsidR="009F66EF">
        <w:rPr>
          <w:sz w:val="24"/>
          <w:szCs w:val="24"/>
        </w:rPr>
        <w:t xml:space="preserve"> </w:t>
      </w:r>
      <w:r w:rsidR="009F66EF" w:rsidRPr="009F66EF">
        <w:rPr>
          <w:sz w:val="24"/>
          <w:szCs w:val="24"/>
        </w:rPr>
        <w:t>dla parametru odzwierciedlającego związek pomiędzy liczbą bankomatów w wartością wypłat gotówkowych (i tylko dla niego</w:t>
      </w:r>
      <w:r w:rsidR="009F66EF">
        <w:rPr>
          <w:sz w:val="24"/>
          <w:szCs w:val="24"/>
        </w:rPr>
        <w:t>, żeby nie trzeba było powielać tych samych operacji dla pozostałych współczynników regresji</w:t>
      </w:r>
      <w:r w:rsidR="009F66EF" w:rsidRPr="009F66EF">
        <w:rPr>
          <w:sz w:val="24"/>
          <w:szCs w:val="24"/>
        </w:rPr>
        <w:t>)</w:t>
      </w:r>
    </w:p>
    <w:p w:rsidR="0060442E" w:rsidRDefault="0060442E" w:rsidP="000C00CE">
      <w:pPr>
        <w:pStyle w:val="Akapitzlist"/>
        <w:numPr>
          <w:ilvl w:val="0"/>
          <w:numId w:val="1"/>
        </w:numPr>
        <w:spacing w:after="120"/>
        <w:contextualSpacing w:val="0"/>
        <w:rPr>
          <w:sz w:val="24"/>
          <w:szCs w:val="24"/>
        </w:rPr>
      </w:pPr>
      <w:r>
        <w:rPr>
          <w:sz w:val="24"/>
          <w:szCs w:val="24"/>
        </w:rPr>
        <w:t>Analiza wyników:</w:t>
      </w:r>
    </w:p>
    <w:p w:rsidR="005E6738" w:rsidRDefault="0060442E" w:rsidP="0060442E">
      <w:pPr>
        <w:pStyle w:val="Akapitzlist"/>
        <w:numPr>
          <w:ilvl w:val="1"/>
          <w:numId w:val="1"/>
        </w:numPr>
        <w:spacing w:after="120"/>
        <w:contextualSpacing w:val="0"/>
        <w:rPr>
          <w:sz w:val="24"/>
          <w:szCs w:val="24"/>
        </w:rPr>
      </w:pPr>
      <w:r>
        <w:rPr>
          <w:sz w:val="24"/>
          <w:szCs w:val="24"/>
        </w:rPr>
        <w:t xml:space="preserve">Analizę zaczynamy </w:t>
      </w:r>
      <w:r w:rsidR="009F66EF">
        <w:rPr>
          <w:sz w:val="24"/>
          <w:szCs w:val="24"/>
        </w:rPr>
        <w:t>od wykresu</w:t>
      </w:r>
      <w:r>
        <w:rPr>
          <w:sz w:val="24"/>
          <w:szCs w:val="24"/>
        </w:rPr>
        <w:t xml:space="preserve"> – to pierwsza rzecz, na którą powinniśmy zwrócić uwagę, gdyż pozwala sobie wyrobić opinię odnośnie:</w:t>
      </w:r>
    </w:p>
    <w:p w:rsidR="0088096B" w:rsidRDefault="00771CF6" w:rsidP="0060442E">
      <w:pPr>
        <w:pStyle w:val="Akapitzlist"/>
        <w:numPr>
          <w:ilvl w:val="2"/>
          <w:numId w:val="1"/>
        </w:numPr>
        <w:spacing w:after="120"/>
        <w:contextualSpacing w:val="0"/>
        <w:rPr>
          <w:sz w:val="24"/>
          <w:szCs w:val="24"/>
        </w:rPr>
      </w:pPr>
      <w:r>
        <w:rPr>
          <w:sz w:val="24"/>
          <w:szCs w:val="24"/>
        </w:rPr>
        <w:t>R</w:t>
      </w:r>
      <w:r w:rsidR="0060442E">
        <w:rPr>
          <w:sz w:val="24"/>
          <w:szCs w:val="24"/>
        </w:rPr>
        <w:t xml:space="preserve">egularności kształtu rozkładu </w:t>
      </w:r>
      <w:r w:rsidR="0060442E">
        <w:rPr>
          <w:i/>
          <w:sz w:val="24"/>
          <w:szCs w:val="24"/>
        </w:rPr>
        <w:t>a posteriori</w:t>
      </w:r>
      <w:r w:rsidR="0060442E">
        <w:rPr>
          <w:sz w:val="24"/>
          <w:szCs w:val="24"/>
        </w:rPr>
        <w:t xml:space="preserve"> – najbardziej regularny kształt charakteryzuje się jednomodalnością i symetrią (jak ma to miejsce w rozkładzie normalnym czy t-Studenta)</w:t>
      </w:r>
      <w:r>
        <w:rPr>
          <w:sz w:val="24"/>
          <w:szCs w:val="24"/>
        </w:rPr>
        <w:t>. I</w:t>
      </w:r>
      <w:r w:rsidR="0088096B">
        <w:rPr>
          <w:sz w:val="24"/>
          <w:szCs w:val="24"/>
        </w:rPr>
        <w:t xml:space="preserve">m bardziej nieregularny kształt funkcji gęstości rozkładu </w:t>
      </w:r>
      <w:r w:rsidR="0088096B">
        <w:rPr>
          <w:i/>
          <w:sz w:val="24"/>
          <w:szCs w:val="24"/>
        </w:rPr>
        <w:t>a posteriori</w:t>
      </w:r>
      <w:r w:rsidR="0088096B">
        <w:rPr>
          <w:sz w:val="24"/>
          <w:szCs w:val="24"/>
        </w:rPr>
        <w:t xml:space="preserve"> (skośność, wiele modalnych, garby), tym powodować to powinno w nas poczucie większej niepewności wnioskowania (choćby z tego tytułu, że wtedy „rozjeżdżają” się – mniej lub bardziej – trzy główne miary położenia rozkładu: wartość oczekiwana, modalna i mediana, i już nie są sobie równe</w:t>
      </w:r>
      <w:r>
        <w:rPr>
          <w:sz w:val="24"/>
          <w:szCs w:val="24"/>
        </w:rPr>
        <w:t>). W </w:t>
      </w:r>
      <w:r w:rsidR="0088096B">
        <w:rPr>
          <w:sz w:val="24"/>
          <w:szCs w:val="24"/>
        </w:rPr>
        <w:t>przypadku silnych nieregularności rozkładu, np. gdy rozkład jest „silnie” dwumodalny, wówczas wartość oczekiwana – wtenczas ulokowana gdzieś pomiędzy modalnymi – zupełnie nie odzwierciedla tendencji centralnej rozkładu, bo ta jest rozdzielona na dwie osobne części – związane z tymi dwiema modalnymi)</w:t>
      </w:r>
    </w:p>
    <w:p w:rsidR="00265EB9" w:rsidRDefault="00265EB9" w:rsidP="0060442E">
      <w:pPr>
        <w:pStyle w:val="Akapitzlist"/>
        <w:numPr>
          <w:ilvl w:val="2"/>
          <w:numId w:val="1"/>
        </w:numPr>
        <w:spacing w:after="120"/>
        <w:contextualSpacing w:val="0"/>
        <w:rPr>
          <w:sz w:val="24"/>
          <w:szCs w:val="24"/>
        </w:rPr>
      </w:pPr>
      <w:r>
        <w:rPr>
          <w:sz w:val="24"/>
          <w:szCs w:val="24"/>
        </w:rPr>
        <w:lastRenderedPageBreak/>
        <w:t>P</w:t>
      </w:r>
      <w:r w:rsidR="00CB457E">
        <w:rPr>
          <w:sz w:val="24"/>
          <w:szCs w:val="24"/>
        </w:rPr>
        <w:t xml:space="preserve">odobieństwa i różnic pomiędzy rozkładem </w:t>
      </w:r>
      <w:r w:rsidR="00CB457E">
        <w:rPr>
          <w:i/>
          <w:sz w:val="24"/>
          <w:szCs w:val="24"/>
        </w:rPr>
        <w:t>a posteriori</w:t>
      </w:r>
      <w:r w:rsidR="00CB457E">
        <w:rPr>
          <w:sz w:val="24"/>
          <w:szCs w:val="24"/>
        </w:rPr>
        <w:t xml:space="preserve"> (czyli tym odzwierciedlającym naszą </w:t>
      </w:r>
      <w:r w:rsidR="00CB457E" w:rsidRPr="00CB457E">
        <w:rPr>
          <w:sz w:val="24"/>
          <w:szCs w:val="24"/>
          <w:u w:val="single"/>
        </w:rPr>
        <w:t>końcową</w:t>
      </w:r>
      <w:r w:rsidR="00CB457E">
        <w:rPr>
          <w:sz w:val="24"/>
          <w:szCs w:val="24"/>
        </w:rPr>
        <w:t xml:space="preserve"> – tj. </w:t>
      </w:r>
      <w:r w:rsidR="00CB457E" w:rsidRPr="00CB457E">
        <w:rPr>
          <w:sz w:val="24"/>
          <w:szCs w:val="24"/>
          <w:u w:val="single"/>
        </w:rPr>
        <w:t>po wglądzie w dane</w:t>
      </w:r>
      <w:r w:rsidR="00CB457E">
        <w:rPr>
          <w:sz w:val="24"/>
          <w:szCs w:val="24"/>
        </w:rPr>
        <w:t xml:space="preserve"> – wiedzę/obraz niepewności co do danego parametru) a</w:t>
      </w:r>
      <w:r w:rsidR="009D5826">
        <w:rPr>
          <w:sz w:val="24"/>
          <w:szCs w:val="24"/>
        </w:rPr>
        <w:t> </w:t>
      </w:r>
      <w:r w:rsidR="00CB457E">
        <w:rPr>
          <w:sz w:val="24"/>
          <w:szCs w:val="24"/>
        </w:rPr>
        <w:t xml:space="preserve">rozkładem </w:t>
      </w:r>
      <w:r w:rsidR="00CB457E">
        <w:rPr>
          <w:i/>
          <w:sz w:val="24"/>
          <w:szCs w:val="24"/>
        </w:rPr>
        <w:t xml:space="preserve">a priori </w:t>
      </w:r>
      <w:r w:rsidR="00CB457E">
        <w:rPr>
          <w:sz w:val="24"/>
          <w:szCs w:val="24"/>
        </w:rPr>
        <w:t xml:space="preserve">(czyli tym odzwierciedlającym naszą </w:t>
      </w:r>
      <w:r w:rsidR="00CB457E" w:rsidRPr="00CB457E">
        <w:rPr>
          <w:sz w:val="24"/>
          <w:szCs w:val="24"/>
          <w:u w:val="single"/>
        </w:rPr>
        <w:t>wstępną</w:t>
      </w:r>
      <w:r w:rsidR="00CB457E">
        <w:rPr>
          <w:sz w:val="24"/>
          <w:szCs w:val="24"/>
        </w:rPr>
        <w:t xml:space="preserve"> – tj. </w:t>
      </w:r>
      <w:r w:rsidR="00CB457E" w:rsidRPr="00CB457E">
        <w:rPr>
          <w:sz w:val="24"/>
          <w:szCs w:val="24"/>
          <w:u w:val="single"/>
        </w:rPr>
        <w:t>przed wglądem w dane</w:t>
      </w:r>
      <w:r w:rsidR="00CB457E">
        <w:rPr>
          <w:sz w:val="24"/>
          <w:szCs w:val="24"/>
        </w:rPr>
        <w:t xml:space="preserve"> – wiedzę/obraz niepewności co do danego parametru)</w:t>
      </w:r>
      <w:r>
        <w:rPr>
          <w:sz w:val="24"/>
          <w:szCs w:val="24"/>
        </w:rPr>
        <w:t>. I</w:t>
      </w:r>
      <w:r w:rsidR="009D5826">
        <w:rPr>
          <w:sz w:val="24"/>
          <w:szCs w:val="24"/>
        </w:rPr>
        <w:t>m większa różnica pomiędzy jednym a drugim, tym mocniej dane zmodyfikowały naszą wstępną wiedzę / obraz niepewności o parametrze</w:t>
      </w:r>
      <w:r w:rsidR="00771CF6">
        <w:rPr>
          <w:sz w:val="24"/>
          <w:szCs w:val="24"/>
        </w:rPr>
        <w:t xml:space="preserve">, co zasadniczo należy odbierać pozytywnie, </w:t>
      </w:r>
      <w:r>
        <w:rPr>
          <w:sz w:val="24"/>
          <w:szCs w:val="24"/>
        </w:rPr>
        <w:t>gdyż</w:t>
      </w:r>
      <w:r w:rsidR="00771CF6">
        <w:rPr>
          <w:sz w:val="24"/>
          <w:szCs w:val="24"/>
        </w:rPr>
        <w:t xml:space="preserve"> oznacza</w:t>
      </w:r>
      <w:r>
        <w:rPr>
          <w:sz w:val="24"/>
          <w:szCs w:val="24"/>
        </w:rPr>
        <w:t xml:space="preserve"> to</w:t>
      </w:r>
      <w:r w:rsidR="00771CF6">
        <w:rPr>
          <w:sz w:val="24"/>
          <w:szCs w:val="24"/>
        </w:rPr>
        <w:t>, że dane faktycznie wniosły coś nowego / nową informację o parametrze.</w:t>
      </w:r>
      <w:r>
        <w:rPr>
          <w:sz w:val="24"/>
          <w:szCs w:val="24"/>
        </w:rPr>
        <w:t xml:space="preserve"> Podobieństwo i różnice pomiędzy rozkładem </w:t>
      </w:r>
      <w:r>
        <w:rPr>
          <w:i/>
          <w:sz w:val="24"/>
          <w:szCs w:val="24"/>
        </w:rPr>
        <w:t>a posteriori</w:t>
      </w:r>
      <w:r>
        <w:rPr>
          <w:sz w:val="24"/>
          <w:szCs w:val="24"/>
        </w:rPr>
        <w:t xml:space="preserve"> a rozkładem </w:t>
      </w:r>
      <w:r>
        <w:rPr>
          <w:i/>
          <w:sz w:val="24"/>
          <w:szCs w:val="24"/>
        </w:rPr>
        <w:t>a priori</w:t>
      </w:r>
      <w:r>
        <w:rPr>
          <w:sz w:val="24"/>
          <w:szCs w:val="24"/>
        </w:rPr>
        <w:t xml:space="preserve"> należy oceniać przede wszystkim pod kątem ich wzajemnego:</w:t>
      </w:r>
    </w:p>
    <w:p w:rsidR="00D22B35" w:rsidRDefault="00265EB9" w:rsidP="00265EB9">
      <w:pPr>
        <w:pStyle w:val="Akapitzlist"/>
        <w:numPr>
          <w:ilvl w:val="3"/>
          <w:numId w:val="1"/>
        </w:numPr>
        <w:spacing w:after="120"/>
        <w:contextualSpacing w:val="0"/>
        <w:rPr>
          <w:sz w:val="24"/>
          <w:szCs w:val="24"/>
        </w:rPr>
      </w:pPr>
      <w:r w:rsidRPr="00565790">
        <w:rPr>
          <w:sz w:val="24"/>
          <w:szCs w:val="24"/>
          <w:u w:val="single"/>
        </w:rPr>
        <w:t>położenia</w:t>
      </w:r>
      <w:r>
        <w:rPr>
          <w:sz w:val="24"/>
          <w:szCs w:val="24"/>
        </w:rPr>
        <w:t>:</w:t>
      </w:r>
      <w:r w:rsidR="00D22B35">
        <w:rPr>
          <w:sz w:val="24"/>
          <w:szCs w:val="24"/>
        </w:rPr>
        <w:t xml:space="preserve"> jeżeli</w:t>
      </w:r>
      <w:r>
        <w:rPr>
          <w:sz w:val="24"/>
          <w:szCs w:val="24"/>
        </w:rPr>
        <w:t xml:space="preserve"> cent</w:t>
      </w:r>
      <w:r w:rsidR="00D22B35">
        <w:rPr>
          <w:sz w:val="24"/>
          <w:szCs w:val="24"/>
        </w:rPr>
        <w:t>ralne części obydwu rozkładów znajdują się</w:t>
      </w:r>
      <w:r>
        <w:rPr>
          <w:sz w:val="24"/>
          <w:szCs w:val="24"/>
        </w:rPr>
        <w:t xml:space="preserve"> </w:t>
      </w:r>
      <w:r w:rsidR="00D22B35">
        <w:rPr>
          <w:sz w:val="24"/>
          <w:szCs w:val="24"/>
        </w:rPr>
        <w:t>„</w:t>
      </w:r>
      <w:r>
        <w:rPr>
          <w:sz w:val="24"/>
          <w:szCs w:val="24"/>
        </w:rPr>
        <w:t>dale</w:t>
      </w:r>
      <w:r w:rsidR="00D22B35">
        <w:rPr>
          <w:sz w:val="24"/>
          <w:szCs w:val="24"/>
        </w:rPr>
        <w:t>ko”</w:t>
      </w:r>
      <w:r>
        <w:rPr>
          <w:sz w:val="24"/>
          <w:szCs w:val="24"/>
        </w:rPr>
        <w:t xml:space="preserve"> </w:t>
      </w:r>
      <w:r w:rsidR="00D22B35">
        <w:rPr>
          <w:sz w:val="24"/>
          <w:szCs w:val="24"/>
        </w:rPr>
        <w:t>od siebie (cokolwiek by to znaczyło – to kwestia uznaniowa, oceniana po prostu „na oko”</w:t>
      </w:r>
      <w:r w:rsidR="00E34FD5">
        <w:rPr>
          <w:sz w:val="24"/>
          <w:szCs w:val="24"/>
        </w:rPr>
        <w:t>,</w:t>
      </w:r>
      <w:r w:rsidR="00D22B35">
        <w:rPr>
          <w:sz w:val="24"/>
          <w:szCs w:val="24"/>
        </w:rPr>
        <w:t xml:space="preserve"> spoglądając na wykres</w:t>
      </w:r>
      <w:r w:rsidR="00901DC3">
        <w:rPr>
          <w:sz w:val="24"/>
          <w:szCs w:val="24"/>
        </w:rPr>
        <w:t xml:space="preserve">), wówczas powiemy, że dane znacząco / „mocno” przesunęły rozkład </w:t>
      </w:r>
      <w:r w:rsidR="00901DC3">
        <w:rPr>
          <w:i/>
          <w:sz w:val="24"/>
          <w:szCs w:val="24"/>
        </w:rPr>
        <w:t>a priori</w:t>
      </w:r>
      <w:r w:rsidR="00901DC3">
        <w:rPr>
          <w:sz w:val="24"/>
          <w:szCs w:val="24"/>
        </w:rPr>
        <w:t>, co zasadniczo oceniamy pozytywnie, gdyż – jak wyjaśniono powyżej – oznacza to, że dane wniosły do modelu/wnioskowania jakąś nową znaczącą informację;</w:t>
      </w:r>
      <w:r w:rsidR="003B4CAC">
        <w:rPr>
          <w:sz w:val="24"/>
          <w:szCs w:val="24"/>
        </w:rPr>
        <w:t xml:space="preserve"> zauważmy też, że ta „odległość” pomiędzy centralnymi częściami rozkładów </w:t>
      </w:r>
      <w:r w:rsidR="003B4CAC">
        <w:rPr>
          <w:i/>
          <w:sz w:val="24"/>
          <w:szCs w:val="24"/>
        </w:rPr>
        <w:t xml:space="preserve">a posteriori </w:t>
      </w:r>
      <w:r w:rsidR="003B4CAC">
        <w:rPr>
          <w:sz w:val="24"/>
          <w:szCs w:val="24"/>
        </w:rPr>
        <w:t>i</w:t>
      </w:r>
      <w:r w:rsidR="003B4CAC">
        <w:rPr>
          <w:i/>
          <w:sz w:val="24"/>
          <w:szCs w:val="24"/>
        </w:rPr>
        <w:t xml:space="preserve"> a priori</w:t>
      </w:r>
      <w:r w:rsidR="003B4CAC">
        <w:rPr>
          <w:sz w:val="24"/>
          <w:szCs w:val="24"/>
        </w:rPr>
        <w:t xml:space="preserve"> znajduje swoje odzwierciedlenie / przekłada się na różnice pomiędzy miarami położenia tych rozkładów  (wartości oczekiwanych, modalnych i median);</w:t>
      </w:r>
    </w:p>
    <w:p w:rsidR="0060442E" w:rsidRDefault="00265EB9" w:rsidP="00265EB9">
      <w:pPr>
        <w:pStyle w:val="Akapitzlist"/>
        <w:numPr>
          <w:ilvl w:val="3"/>
          <w:numId w:val="1"/>
        </w:numPr>
        <w:spacing w:after="120"/>
        <w:contextualSpacing w:val="0"/>
        <w:rPr>
          <w:sz w:val="24"/>
          <w:szCs w:val="24"/>
        </w:rPr>
      </w:pPr>
      <w:r w:rsidRPr="00565790">
        <w:rPr>
          <w:sz w:val="24"/>
          <w:szCs w:val="24"/>
          <w:u w:val="single"/>
        </w:rPr>
        <w:t>rozproszenia</w:t>
      </w:r>
      <w:r w:rsidR="005D710C">
        <w:rPr>
          <w:sz w:val="24"/>
          <w:szCs w:val="24"/>
        </w:rPr>
        <w:t>: zwykle spodziewamy się, że</w:t>
      </w:r>
      <w:r w:rsidR="00EF4FC2">
        <w:rPr>
          <w:sz w:val="24"/>
          <w:szCs w:val="24"/>
        </w:rPr>
        <w:t xml:space="preserve"> rozkład </w:t>
      </w:r>
      <w:r w:rsidR="00EF4FC2">
        <w:rPr>
          <w:i/>
          <w:sz w:val="24"/>
          <w:szCs w:val="24"/>
        </w:rPr>
        <w:t>a posteriori</w:t>
      </w:r>
      <w:r w:rsidR="00EF4FC2">
        <w:rPr>
          <w:sz w:val="24"/>
          <w:szCs w:val="24"/>
        </w:rPr>
        <w:t xml:space="preserve"> powinien charakteryzować się mniejszym rozproszeniem w porównaniu do rozkładu </w:t>
      </w:r>
      <w:r w:rsidR="00EF4FC2">
        <w:rPr>
          <w:i/>
          <w:sz w:val="24"/>
          <w:szCs w:val="24"/>
        </w:rPr>
        <w:t>a priori</w:t>
      </w:r>
      <w:r w:rsidR="00EF4FC2">
        <w:rPr>
          <w:sz w:val="24"/>
          <w:szCs w:val="24"/>
        </w:rPr>
        <w:t xml:space="preserve">, a to dlatego, że dane (informacja w nich zawarta) powinny się przyczyniać do zmniejszenia </w:t>
      </w:r>
      <w:r w:rsidR="00EF4FC2">
        <w:rPr>
          <w:i/>
          <w:sz w:val="24"/>
          <w:szCs w:val="24"/>
        </w:rPr>
        <w:t xml:space="preserve">niepewności </w:t>
      </w:r>
      <w:r w:rsidR="00EF4FC2">
        <w:rPr>
          <w:sz w:val="24"/>
          <w:szCs w:val="24"/>
        </w:rPr>
        <w:t xml:space="preserve">naszego wnioskowania o parametrach (im bardziej rozproszony rozkład czy to </w:t>
      </w:r>
      <w:r w:rsidR="00EF4FC2">
        <w:rPr>
          <w:i/>
          <w:sz w:val="24"/>
          <w:szCs w:val="24"/>
        </w:rPr>
        <w:t>a priori</w:t>
      </w:r>
      <w:r w:rsidR="00EF4FC2">
        <w:rPr>
          <w:sz w:val="24"/>
          <w:szCs w:val="24"/>
        </w:rPr>
        <w:t xml:space="preserve">, czy </w:t>
      </w:r>
      <w:r w:rsidR="00EF4FC2">
        <w:rPr>
          <w:i/>
          <w:sz w:val="24"/>
          <w:szCs w:val="24"/>
        </w:rPr>
        <w:t>a posteriori</w:t>
      </w:r>
      <w:r w:rsidR="00EF4FC2">
        <w:rPr>
          <w:sz w:val="24"/>
          <w:szCs w:val="24"/>
        </w:rPr>
        <w:t xml:space="preserve">, tym większą </w:t>
      </w:r>
      <w:r w:rsidR="00EF4FC2" w:rsidRPr="00EF4FC2">
        <w:rPr>
          <w:i/>
          <w:sz w:val="24"/>
          <w:szCs w:val="24"/>
        </w:rPr>
        <w:t>niepewnością</w:t>
      </w:r>
      <w:r w:rsidR="00EF4FC2">
        <w:rPr>
          <w:sz w:val="24"/>
          <w:szCs w:val="24"/>
        </w:rPr>
        <w:t xml:space="preserve">, jest obarczone wnioskowanie o parametrze na podstawie danego rozkładu, odpowiednio, </w:t>
      </w:r>
      <w:r w:rsidR="00EF4FC2">
        <w:rPr>
          <w:i/>
          <w:sz w:val="24"/>
          <w:szCs w:val="24"/>
        </w:rPr>
        <w:t xml:space="preserve">przed </w:t>
      </w:r>
      <w:r w:rsidR="00EF4FC2">
        <w:rPr>
          <w:sz w:val="24"/>
          <w:szCs w:val="24"/>
        </w:rPr>
        <w:t xml:space="preserve">czy </w:t>
      </w:r>
      <w:r w:rsidR="00EF4FC2">
        <w:rPr>
          <w:i/>
          <w:sz w:val="24"/>
          <w:szCs w:val="24"/>
        </w:rPr>
        <w:t>po</w:t>
      </w:r>
      <w:r w:rsidR="00EF4FC2">
        <w:rPr>
          <w:sz w:val="24"/>
          <w:szCs w:val="24"/>
        </w:rPr>
        <w:t xml:space="preserve"> wglądzie w dane)</w:t>
      </w:r>
      <w:r w:rsidR="00565790">
        <w:rPr>
          <w:sz w:val="24"/>
          <w:szCs w:val="24"/>
        </w:rPr>
        <w:t>.</w:t>
      </w:r>
      <w:r w:rsidR="00A02118">
        <w:rPr>
          <w:sz w:val="24"/>
          <w:szCs w:val="24"/>
        </w:rPr>
        <w:t xml:space="preserve"> Czasami jednak – i wbrew powyższej intuicji – może się zdarzyć się, że otrzymany rozkład </w:t>
      </w:r>
      <w:r w:rsidR="00A02118">
        <w:rPr>
          <w:i/>
          <w:sz w:val="24"/>
          <w:szCs w:val="24"/>
        </w:rPr>
        <w:t>a posteriori</w:t>
      </w:r>
      <w:r w:rsidR="00A02118">
        <w:rPr>
          <w:sz w:val="24"/>
          <w:szCs w:val="24"/>
        </w:rPr>
        <w:t xml:space="preserve"> jest bardziej rozproszony (tj. ma wyższe rozproszenie) aniżeli rozkład </w:t>
      </w:r>
      <w:r w:rsidR="00A042C9">
        <w:rPr>
          <w:i/>
          <w:sz w:val="24"/>
          <w:szCs w:val="24"/>
        </w:rPr>
        <w:t>a priori</w:t>
      </w:r>
      <w:r w:rsidR="00A042C9">
        <w:rPr>
          <w:sz w:val="24"/>
          <w:szCs w:val="24"/>
        </w:rPr>
        <w:t>. Przyczyną może być… silne skorelowanie dwóch zmiennych objaśniających, czyli problem bliskiej (bo nie dokładnej) ich współliniowości (inaczej: liniowej współzależności).</w:t>
      </w:r>
      <w:r w:rsidR="001041FA">
        <w:rPr>
          <w:sz w:val="24"/>
          <w:szCs w:val="24"/>
        </w:rPr>
        <w:t xml:space="preserve"> </w:t>
      </w:r>
      <w:r w:rsidR="00A042C9">
        <w:rPr>
          <w:sz w:val="24"/>
          <w:szCs w:val="24"/>
        </w:rPr>
        <w:t xml:space="preserve">Jeśli bowiem dwie zmienne objaśniające są ze sobą silnie skorelowane (czy to dodatnio, czy ujemnie), wówczas niosą one ze sobą „prawie tę samą informację”, za pomocą której usiłujemy wyjaśnić kształtowanie się zmiennej objaśnianej. Przez to model „może mieć problem” </w:t>
      </w:r>
      <w:r w:rsidR="00110E37">
        <w:rPr>
          <w:sz w:val="24"/>
          <w:szCs w:val="24"/>
        </w:rPr>
        <w:t>z jednoznacznym wnioskowaniem o </w:t>
      </w:r>
      <w:r w:rsidR="00A042C9">
        <w:rPr>
          <w:sz w:val="24"/>
          <w:szCs w:val="24"/>
        </w:rPr>
        <w:t xml:space="preserve">parametrach stojących przy tym dwóch </w:t>
      </w:r>
      <w:r w:rsidR="001041FA">
        <w:rPr>
          <w:sz w:val="24"/>
          <w:szCs w:val="24"/>
        </w:rPr>
        <w:t>(</w:t>
      </w:r>
      <w:r w:rsidR="00A042C9">
        <w:rPr>
          <w:sz w:val="24"/>
          <w:szCs w:val="24"/>
        </w:rPr>
        <w:t>prawie</w:t>
      </w:r>
      <w:r w:rsidR="001041FA">
        <w:rPr>
          <w:sz w:val="24"/>
          <w:szCs w:val="24"/>
        </w:rPr>
        <w:t xml:space="preserve">) współliniowych zmiennych, bo ich wpływ na y-ka jest bardzo, bardzo podobny – i to właśnie znajduje swoje odzwierciedlenie w </w:t>
      </w:r>
      <w:r w:rsidR="009D6A2C">
        <w:rPr>
          <w:sz w:val="24"/>
          <w:szCs w:val="24"/>
        </w:rPr>
        <w:t xml:space="preserve">wyższym (od </w:t>
      </w:r>
      <w:r w:rsidR="009D6A2C">
        <w:rPr>
          <w:i/>
          <w:sz w:val="24"/>
          <w:szCs w:val="24"/>
        </w:rPr>
        <w:t>a priori</w:t>
      </w:r>
      <w:r w:rsidR="009D6A2C">
        <w:rPr>
          <w:sz w:val="24"/>
          <w:szCs w:val="24"/>
        </w:rPr>
        <w:t>)</w:t>
      </w:r>
      <w:r w:rsidR="001041FA">
        <w:rPr>
          <w:sz w:val="24"/>
          <w:szCs w:val="24"/>
        </w:rPr>
        <w:t xml:space="preserve"> rozproszeniu rozkładu </w:t>
      </w:r>
      <w:r w:rsidR="001041FA" w:rsidRPr="001041FA">
        <w:rPr>
          <w:i/>
          <w:sz w:val="24"/>
          <w:szCs w:val="24"/>
        </w:rPr>
        <w:t>a posteriori</w:t>
      </w:r>
      <w:r w:rsidR="0061732D">
        <w:rPr>
          <w:sz w:val="24"/>
          <w:szCs w:val="24"/>
        </w:rPr>
        <w:t xml:space="preserve"> (powtórzmy: ta duża niepewność wnioskowania o jednym czy drugim parametrze wynika z tego, że modelowi ciężko rozróżnić między sobą wpływ jednej i drugiej zmiennej objaśniającej na zmienną objaśnianą).</w:t>
      </w:r>
    </w:p>
    <w:p w:rsidR="005D710C" w:rsidRDefault="005D710C" w:rsidP="007B77E3">
      <w:pPr>
        <w:pStyle w:val="Akapitzlist"/>
        <w:spacing w:after="120"/>
        <w:ind w:left="1440"/>
        <w:contextualSpacing w:val="0"/>
        <w:rPr>
          <w:sz w:val="24"/>
          <w:szCs w:val="24"/>
        </w:rPr>
      </w:pPr>
      <w:r w:rsidRPr="005D710C">
        <w:rPr>
          <w:sz w:val="24"/>
          <w:szCs w:val="24"/>
        </w:rPr>
        <w:sym w:font="Wingdings" w:char="F0E0"/>
      </w:r>
      <w:r>
        <w:rPr>
          <w:sz w:val="24"/>
          <w:szCs w:val="24"/>
        </w:rPr>
        <w:t xml:space="preserve"> W ćwiczeniu uzyskaliśmy taki wykres:</w:t>
      </w:r>
    </w:p>
    <w:p w:rsidR="005D710C" w:rsidRDefault="00E2202F" w:rsidP="00EB632E">
      <w:pPr>
        <w:pStyle w:val="Akapitzlist"/>
        <w:spacing w:after="120"/>
        <w:ind w:left="1440"/>
        <w:contextualSpacing w:val="0"/>
        <w:jc w:val="center"/>
        <w:rPr>
          <w:sz w:val="24"/>
          <w:szCs w:val="24"/>
        </w:rPr>
      </w:pPr>
      <w:r>
        <w:rPr>
          <w:noProof/>
          <w:sz w:val="24"/>
          <w:szCs w:val="24"/>
          <w:lang w:eastAsia="pl-PL"/>
        </w:rPr>
        <w:lastRenderedPageBreak/>
        <w:drawing>
          <wp:inline distT="0" distB="0" distL="0" distR="0">
            <wp:extent cx="4712970" cy="262191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12970" cy="2621915"/>
                    </a:xfrm>
                    <a:prstGeom prst="rect">
                      <a:avLst/>
                    </a:prstGeom>
                    <a:noFill/>
                    <a:ln>
                      <a:noFill/>
                    </a:ln>
                  </pic:spPr>
                </pic:pic>
              </a:graphicData>
            </a:graphic>
          </wp:inline>
        </w:drawing>
      </w:r>
    </w:p>
    <w:p w:rsidR="00E2202F" w:rsidRPr="004C64DC" w:rsidRDefault="00E2202F" w:rsidP="007B77E3">
      <w:pPr>
        <w:pStyle w:val="Akapitzlist"/>
        <w:spacing w:after="120"/>
        <w:ind w:left="1440"/>
        <w:contextualSpacing w:val="0"/>
        <w:rPr>
          <w:sz w:val="24"/>
          <w:szCs w:val="24"/>
        </w:rPr>
      </w:pPr>
      <w:r w:rsidRPr="00E2202F">
        <w:rPr>
          <w:sz w:val="24"/>
          <w:szCs w:val="24"/>
        </w:rPr>
        <w:sym w:font="Wingdings" w:char="F0E0"/>
      </w:r>
      <w:r>
        <w:rPr>
          <w:sz w:val="24"/>
          <w:szCs w:val="24"/>
        </w:rPr>
        <w:t xml:space="preserve"> Co zauważamy? Patrzymy na różnice pod względem </w:t>
      </w:r>
      <w:r w:rsidRPr="003C19C8">
        <w:rPr>
          <w:sz w:val="24"/>
          <w:szCs w:val="24"/>
          <w:u w:val="single"/>
        </w:rPr>
        <w:t>położenie</w:t>
      </w:r>
      <w:r>
        <w:rPr>
          <w:sz w:val="24"/>
          <w:szCs w:val="24"/>
        </w:rPr>
        <w:t xml:space="preserve"> i </w:t>
      </w:r>
      <w:r w:rsidRPr="003C19C8">
        <w:rPr>
          <w:sz w:val="24"/>
          <w:szCs w:val="24"/>
          <w:u w:val="single"/>
        </w:rPr>
        <w:t>rozproszenia</w:t>
      </w:r>
      <w:r>
        <w:rPr>
          <w:sz w:val="24"/>
          <w:szCs w:val="24"/>
        </w:rPr>
        <w:t xml:space="preserve"> obydwu rozkładów. W tym pierwszym aspekcie zauważamy, że rozkład </w:t>
      </w:r>
      <w:r>
        <w:rPr>
          <w:i/>
          <w:sz w:val="24"/>
          <w:szCs w:val="24"/>
        </w:rPr>
        <w:t>a posteriori</w:t>
      </w:r>
      <w:r>
        <w:rPr>
          <w:sz w:val="24"/>
          <w:szCs w:val="24"/>
        </w:rPr>
        <w:t xml:space="preserve"> znajduje się daleko na prawo od rozkładu </w:t>
      </w:r>
      <w:r>
        <w:rPr>
          <w:i/>
          <w:sz w:val="24"/>
          <w:szCs w:val="24"/>
        </w:rPr>
        <w:t>a priori</w:t>
      </w:r>
      <w:r>
        <w:rPr>
          <w:sz w:val="24"/>
          <w:szCs w:val="24"/>
        </w:rPr>
        <w:t>, a zatem „dane przesunęły naszą wiedzę/obraz niepewności na prawo”</w:t>
      </w:r>
      <w:r w:rsidR="003D3335">
        <w:rPr>
          <w:sz w:val="24"/>
          <w:szCs w:val="24"/>
        </w:rPr>
        <w:t xml:space="preserve"> (spójrzmy, że rozkład </w:t>
      </w:r>
      <w:r w:rsidR="003D3335">
        <w:rPr>
          <w:i/>
          <w:sz w:val="24"/>
          <w:szCs w:val="24"/>
        </w:rPr>
        <w:t>a posteriori</w:t>
      </w:r>
      <w:r w:rsidR="003D3335">
        <w:rPr>
          <w:sz w:val="24"/>
          <w:szCs w:val="24"/>
        </w:rPr>
        <w:t xml:space="preserve"> jest tak bardzo przesunięty, że prawie w całym zakresie wartości prezentowanych na osi OX, wartość gęstości </w:t>
      </w:r>
      <w:r w:rsidR="003D3335">
        <w:rPr>
          <w:i/>
          <w:sz w:val="24"/>
          <w:szCs w:val="24"/>
        </w:rPr>
        <w:t>a priori</w:t>
      </w:r>
      <w:r w:rsidR="003D3335">
        <w:rPr>
          <w:sz w:val="24"/>
          <w:szCs w:val="24"/>
        </w:rPr>
        <w:t xml:space="preserve"> jest praktycznie zerowa – oczywiście zera nie sięga, ale jest już bardzo, bardzo jemu bliska).</w:t>
      </w:r>
      <w:r>
        <w:rPr>
          <w:sz w:val="24"/>
          <w:szCs w:val="24"/>
        </w:rPr>
        <w:t xml:space="preserve"> Możemy zatem stwierdzić, że dane wniosły znacząco różną od </w:t>
      </w:r>
      <w:r w:rsidRPr="00E2202F">
        <w:rPr>
          <w:i/>
          <w:sz w:val="24"/>
          <w:szCs w:val="24"/>
        </w:rPr>
        <w:t>a priori</w:t>
      </w:r>
      <w:r>
        <w:rPr>
          <w:sz w:val="24"/>
          <w:szCs w:val="24"/>
        </w:rPr>
        <w:t xml:space="preserve"> informację do modelu o parametrze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5</m:t>
            </m:r>
          </m:sub>
        </m:sSub>
      </m:oMath>
      <w:r w:rsidR="004C64DC">
        <w:rPr>
          <w:sz w:val="24"/>
          <w:szCs w:val="24"/>
        </w:rPr>
        <w:t xml:space="preserve"> (a to dobrze, bo po to w sumie wykorzystujemy dane w statystyce: żeby wnioskować na podstawie informacji zawartej </w:t>
      </w:r>
      <w:r w:rsidR="004C64DC">
        <w:rPr>
          <w:i/>
          <w:sz w:val="24"/>
          <w:szCs w:val="24"/>
        </w:rPr>
        <w:t>w nich</w:t>
      </w:r>
      <w:r w:rsidR="004C64DC">
        <w:rPr>
          <w:sz w:val="24"/>
          <w:szCs w:val="24"/>
        </w:rPr>
        <w:t xml:space="preserve">, a nie na podstawie naszego </w:t>
      </w:r>
      <w:r w:rsidR="00844014">
        <w:rPr>
          <w:i/>
          <w:sz w:val="24"/>
          <w:szCs w:val="24"/>
        </w:rPr>
        <w:t>a </w:t>
      </w:r>
      <w:r w:rsidR="004C64DC">
        <w:rPr>
          <w:i/>
          <w:sz w:val="24"/>
          <w:szCs w:val="24"/>
        </w:rPr>
        <w:t>priori</w:t>
      </w:r>
      <w:r w:rsidR="004C64DC">
        <w:rPr>
          <w:sz w:val="24"/>
          <w:szCs w:val="24"/>
        </w:rPr>
        <w:t xml:space="preserve"> wyobrażeniach/założeniach o parametrach)</w:t>
      </w:r>
      <w:r w:rsidR="003D3335">
        <w:rPr>
          <w:sz w:val="24"/>
          <w:szCs w:val="24"/>
        </w:rPr>
        <w:t>.</w:t>
      </w:r>
      <w:r w:rsidR="004B2CB2">
        <w:rPr>
          <w:sz w:val="24"/>
          <w:szCs w:val="24"/>
        </w:rPr>
        <w:t xml:space="preserve"> Tę różnicę w położeniu centralnych części obu analizowanych rozkładów potwierdzają także ich charakterystyki położenia, bowiem </w:t>
      </w:r>
      <m:oMath>
        <m:r>
          <w:rPr>
            <w:rFonts w:ascii="Cambria Math" w:hAnsi="Cambria Math"/>
            <w:sz w:val="24"/>
            <w:szCs w:val="24"/>
          </w:rPr>
          <m:t>E</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5</m:t>
                </m:r>
              </m:sub>
            </m:sSub>
          </m:e>
        </m:d>
        <m:r>
          <w:rPr>
            <w:rFonts w:ascii="Cambria Math" w:hAnsi="Cambria Math"/>
            <w:sz w:val="24"/>
            <w:szCs w:val="24"/>
          </w:rPr>
          <m:t>=Mo</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5</m:t>
                </m:r>
              </m:sub>
            </m:sSub>
          </m:e>
        </m:d>
        <m:r>
          <w:rPr>
            <w:rFonts w:ascii="Cambria Math" w:hAnsi="Cambria Math"/>
            <w:sz w:val="24"/>
            <w:szCs w:val="24"/>
          </w:rPr>
          <m:t>=Me</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5</m:t>
                </m:r>
              </m:sub>
            </m:sSub>
          </m:e>
        </m:d>
        <m:r>
          <w:rPr>
            <w:rFonts w:ascii="Cambria Math" w:hAnsi="Cambria Math"/>
            <w:sz w:val="24"/>
            <w:szCs w:val="24"/>
          </w:rPr>
          <m:t>=0</m:t>
        </m:r>
      </m:oMath>
      <w:r w:rsidR="004B2CB2">
        <w:rPr>
          <w:rFonts w:eastAsiaTheme="minorEastAsia"/>
          <w:sz w:val="24"/>
          <w:szCs w:val="24"/>
        </w:rPr>
        <w:t xml:space="preserve"> (a swoją drogą, skąd to wiemy?), podczas gdy </w:t>
      </w:r>
      <m:oMath>
        <m:r>
          <w:rPr>
            <w:rFonts w:ascii="Cambria Math" w:hAnsi="Cambria Math"/>
            <w:sz w:val="24"/>
            <w:szCs w:val="24"/>
          </w:rPr>
          <m:t>E</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5</m:t>
                </m:r>
              </m:sub>
            </m:sSub>
            <m:r>
              <w:rPr>
                <w:rFonts w:ascii="Cambria Math" w:hAnsi="Cambria Math"/>
                <w:sz w:val="24"/>
                <w:szCs w:val="24"/>
              </w:rPr>
              <m:t>|y</m:t>
            </m:r>
          </m:e>
        </m:d>
        <m:r>
          <w:rPr>
            <w:rFonts w:ascii="Cambria Math" w:hAnsi="Cambria Math"/>
            <w:sz w:val="24"/>
            <w:szCs w:val="24"/>
          </w:rPr>
          <m:t>=Mo</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5</m:t>
                </m:r>
              </m:sub>
            </m:sSub>
            <m:r>
              <w:rPr>
                <w:rFonts w:ascii="Cambria Math" w:hAnsi="Cambria Math"/>
                <w:sz w:val="24"/>
                <w:szCs w:val="24"/>
              </w:rPr>
              <m:t>|y</m:t>
            </m:r>
          </m:e>
        </m:d>
        <m:r>
          <w:rPr>
            <w:rFonts w:ascii="Cambria Math" w:hAnsi="Cambria Math"/>
            <w:sz w:val="24"/>
            <w:szCs w:val="24"/>
          </w:rPr>
          <m:t>=Me</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5</m:t>
                </m:r>
              </m:sub>
            </m:sSub>
            <m:r>
              <w:rPr>
                <w:rFonts w:ascii="Cambria Math" w:hAnsi="Cambria Math"/>
                <w:sz w:val="24"/>
                <w:szCs w:val="24"/>
              </w:rPr>
              <m:t>|y</m:t>
            </m:r>
          </m:e>
        </m:d>
        <m:r>
          <w:rPr>
            <w:rFonts w:ascii="Cambria Math" w:eastAsiaTheme="minorEastAsia" w:hAnsi="Cambria Math"/>
            <w:sz w:val="24"/>
            <w:szCs w:val="24"/>
          </w:rPr>
          <m:t>≈</m:t>
        </m:r>
        <m:r>
          <w:rPr>
            <w:rFonts w:ascii="Cambria Math" w:hAnsi="Cambria Math"/>
            <w:sz w:val="24"/>
            <w:szCs w:val="24"/>
          </w:rPr>
          <m:t>141,3</m:t>
        </m:r>
      </m:oMath>
      <w:r w:rsidR="00844014">
        <w:rPr>
          <w:rFonts w:eastAsiaTheme="minorEastAsia"/>
          <w:sz w:val="24"/>
          <w:szCs w:val="24"/>
        </w:rPr>
        <w:t xml:space="preserve"> (patrz arkusz Excela, jak i tabelka poniżej)</w:t>
      </w:r>
      <w:r w:rsidR="003C19C8">
        <w:rPr>
          <w:rFonts w:eastAsiaTheme="minorEastAsia"/>
          <w:sz w:val="24"/>
          <w:szCs w:val="24"/>
        </w:rPr>
        <w:t>.</w:t>
      </w:r>
    </w:p>
    <w:p w:rsidR="00E2202F" w:rsidRPr="0014641B" w:rsidRDefault="003D3335" w:rsidP="007B77E3">
      <w:pPr>
        <w:pStyle w:val="Akapitzlist"/>
        <w:spacing w:after="120"/>
        <w:ind w:left="1440"/>
        <w:contextualSpacing w:val="0"/>
        <w:rPr>
          <w:sz w:val="24"/>
          <w:szCs w:val="24"/>
        </w:rPr>
      </w:pPr>
      <w:r>
        <w:rPr>
          <w:sz w:val="24"/>
          <w:szCs w:val="24"/>
        </w:rPr>
        <w:t>A co odnośnie rozproszenia obydwu rozkładów?</w:t>
      </w:r>
      <w:r w:rsidR="001A328E">
        <w:rPr>
          <w:sz w:val="24"/>
          <w:szCs w:val="24"/>
        </w:rPr>
        <w:t xml:space="preserve"> Ich porównanie na podstawie tylko wykresu jest tu utrudnione, ponieważ nie widać na nim centralnej części rozkładu </w:t>
      </w:r>
      <w:r w:rsidR="001A328E">
        <w:rPr>
          <w:i/>
          <w:sz w:val="24"/>
          <w:szCs w:val="24"/>
        </w:rPr>
        <w:t>a priori</w:t>
      </w:r>
      <w:r w:rsidR="001A328E">
        <w:rPr>
          <w:sz w:val="24"/>
          <w:szCs w:val="24"/>
        </w:rPr>
        <w:t xml:space="preserve"> (nie zmieściła się)</w:t>
      </w:r>
      <w:r w:rsidR="004F4E55">
        <w:rPr>
          <w:sz w:val="24"/>
          <w:szCs w:val="24"/>
        </w:rPr>
        <w:t>.</w:t>
      </w:r>
      <w:r w:rsidR="00812B8E">
        <w:rPr>
          <w:sz w:val="24"/>
          <w:szCs w:val="24"/>
        </w:rPr>
        <w:t xml:space="preserve"> Możemy jednak spojrzeć na odpowiednie charakterystyki liczbowe tych rozkładów, a mianowicie na odchylenia standardowe (patrz arkusz Excela, jak i tabelka poniżej): </w:t>
      </w:r>
      <m:oMath>
        <m:r>
          <w:rPr>
            <w:rFonts w:ascii="Cambria Math" w:hAnsi="Cambria Math"/>
            <w:sz w:val="24"/>
            <w:szCs w:val="24"/>
          </w:rPr>
          <m:t>D</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5</m:t>
                </m:r>
              </m:sub>
            </m:sSub>
          </m:e>
        </m:d>
        <m:r>
          <w:rPr>
            <w:rFonts w:ascii="Cambria Math" w:hAnsi="Cambria Math"/>
            <w:sz w:val="24"/>
            <w:szCs w:val="24"/>
          </w:rPr>
          <m:t>=</m:t>
        </m:r>
        <m:rad>
          <m:radPr>
            <m:degHide m:val="1"/>
            <m:ctrlPr>
              <w:rPr>
                <w:rFonts w:ascii="Cambria Math" w:hAnsi="Cambria Math"/>
                <w:i/>
                <w:sz w:val="24"/>
                <w:szCs w:val="24"/>
              </w:rPr>
            </m:ctrlPr>
          </m:radPr>
          <m:deg/>
          <m:e>
            <m:r>
              <w:rPr>
                <w:rFonts w:ascii="Cambria Math" w:hAnsi="Cambria Math"/>
                <w:sz w:val="24"/>
                <w:szCs w:val="24"/>
              </w:rPr>
              <m:t>Var</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5</m:t>
                    </m:r>
                  </m:sub>
                </m:sSub>
              </m:e>
            </m:d>
          </m:e>
        </m:rad>
        <m:r>
          <w:rPr>
            <w:rFonts w:ascii="Cambria Math" w:eastAsiaTheme="minorEastAsia" w:hAnsi="Cambria Math"/>
            <w:sz w:val="24"/>
            <w:szCs w:val="24"/>
          </w:rPr>
          <m:t>=10</m:t>
        </m:r>
      </m:oMath>
      <w:r w:rsidR="00812B8E">
        <w:rPr>
          <w:rFonts w:eastAsiaTheme="minorEastAsia"/>
          <w:sz w:val="24"/>
          <w:szCs w:val="24"/>
        </w:rPr>
        <w:t>, podczas gdy</w:t>
      </w:r>
      <w:r w:rsidR="00E27526">
        <w:rPr>
          <w:rFonts w:eastAsiaTheme="minorEastAsia"/>
          <w:sz w:val="24"/>
          <w:szCs w:val="24"/>
        </w:rPr>
        <w:t xml:space="preserve"> </w:t>
      </w:r>
      <m:oMath>
        <m:r>
          <w:rPr>
            <w:rFonts w:ascii="Cambria Math" w:hAnsi="Cambria Math"/>
            <w:sz w:val="24"/>
            <w:szCs w:val="24"/>
          </w:rPr>
          <m:t>D</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5</m:t>
                </m:r>
              </m:sub>
            </m:sSub>
            <m:r>
              <w:rPr>
                <w:rFonts w:ascii="Cambria Math" w:hAnsi="Cambria Math"/>
                <w:sz w:val="24"/>
                <w:szCs w:val="24"/>
              </w:rPr>
              <m:t>|y</m:t>
            </m:r>
          </m:e>
        </m:d>
        <m:r>
          <w:rPr>
            <w:rFonts w:ascii="Cambria Math" w:hAnsi="Cambria Math"/>
            <w:sz w:val="24"/>
            <w:szCs w:val="24"/>
          </w:rPr>
          <m:t>=</m:t>
        </m:r>
        <m:rad>
          <m:radPr>
            <m:degHide m:val="1"/>
            <m:ctrlPr>
              <w:rPr>
                <w:rFonts w:ascii="Cambria Math" w:hAnsi="Cambria Math"/>
                <w:i/>
                <w:sz w:val="24"/>
                <w:szCs w:val="24"/>
              </w:rPr>
            </m:ctrlPr>
          </m:radPr>
          <m:deg/>
          <m:e>
            <m:r>
              <w:rPr>
                <w:rFonts w:ascii="Cambria Math" w:hAnsi="Cambria Math"/>
                <w:sz w:val="24"/>
                <w:szCs w:val="24"/>
              </w:rPr>
              <m:t>Var</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5</m:t>
                    </m:r>
                  </m:sub>
                </m:sSub>
                <m:r>
                  <w:rPr>
                    <w:rFonts w:ascii="Cambria Math" w:hAnsi="Cambria Math"/>
                    <w:sz w:val="24"/>
                    <w:szCs w:val="24"/>
                  </w:rPr>
                  <m:t>|y</m:t>
                </m:r>
              </m:e>
            </m:d>
          </m:e>
        </m:rad>
        <m:r>
          <w:rPr>
            <w:rFonts w:ascii="Cambria Math" w:eastAsiaTheme="minorEastAsia" w:hAnsi="Cambria Math"/>
            <w:sz w:val="24"/>
            <w:szCs w:val="24"/>
          </w:rPr>
          <m:t>≈27,21</m:t>
        </m:r>
      </m:oMath>
      <w:r w:rsidR="0014641B">
        <w:rPr>
          <w:rFonts w:eastAsiaTheme="minorEastAsia"/>
          <w:sz w:val="24"/>
          <w:szCs w:val="24"/>
        </w:rPr>
        <w:t xml:space="preserve">. Stwierdzamy – ku naszemu zaskoczeniu – że rozproszenie rozkładu </w:t>
      </w:r>
      <w:r w:rsidR="0014641B">
        <w:rPr>
          <w:rFonts w:eastAsiaTheme="minorEastAsia"/>
          <w:i/>
          <w:sz w:val="24"/>
          <w:szCs w:val="24"/>
        </w:rPr>
        <w:t>a posteriori</w:t>
      </w:r>
      <w:r w:rsidR="0014641B">
        <w:rPr>
          <w:rFonts w:eastAsiaTheme="minorEastAsia"/>
          <w:sz w:val="24"/>
          <w:szCs w:val="24"/>
        </w:rPr>
        <w:t xml:space="preserve"> (a tym samym niepewność wnioskowania o parametrze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5</m:t>
            </m:r>
          </m:sub>
        </m:sSub>
      </m:oMath>
      <w:r w:rsidR="0014641B">
        <w:rPr>
          <w:rFonts w:eastAsiaTheme="minorEastAsia"/>
          <w:sz w:val="24"/>
          <w:szCs w:val="24"/>
        </w:rPr>
        <w:t xml:space="preserve"> </w:t>
      </w:r>
      <w:r w:rsidR="0014641B">
        <w:rPr>
          <w:rFonts w:eastAsiaTheme="minorEastAsia"/>
          <w:i/>
          <w:sz w:val="24"/>
          <w:szCs w:val="24"/>
        </w:rPr>
        <w:t xml:space="preserve">po </w:t>
      </w:r>
      <w:r w:rsidR="0014641B">
        <w:rPr>
          <w:rFonts w:eastAsiaTheme="minorEastAsia"/>
          <w:sz w:val="24"/>
          <w:szCs w:val="24"/>
        </w:rPr>
        <w:t xml:space="preserve">wglądzie w dane) jest większe niż </w:t>
      </w:r>
      <w:r w:rsidR="0014641B">
        <w:rPr>
          <w:rFonts w:eastAsiaTheme="minorEastAsia"/>
          <w:i/>
          <w:sz w:val="24"/>
          <w:szCs w:val="24"/>
        </w:rPr>
        <w:t>a priori</w:t>
      </w:r>
      <w:r w:rsidR="0014641B">
        <w:rPr>
          <w:rFonts w:eastAsiaTheme="minorEastAsia"/>
          <w:sz w:val="24"/>
          <w:szCs w:val="24"/>
        </w:rPr>
        <w:t>. Sytuacja ta, jakkolwiek dość nietypowa (z przyczyn opisanych wcześniej) ma tu jednak swoją konkretną przyczynę – dokładnie tę opisaną powyżej</w:t>
      </w:r>
      <w:r w:rsidR="004F1CE5">
        <w:rPr>
          <w:rFonts w:eastAsiaTheme="minorEastAsia"/>
          <w:sz w:val="24"/>
          <w:szCs w:val="24"/>
        </w:rPr>
        <w:t>. Otóż</w:t>
      </w:r>
      <w:r w:rsidR="0014641B">
        <w:rPr>
          <w:rFonts w:eastAsiaTheme="minorEastAsia"/>
          <w:sz w:val="24"/>
          <w:szCs w:val="24"/>
        </w:rPr>
        <w:t xml:space="preserve"> </w:t>
      </w:r>
      <w:r w:rsidR="004F1CE5">
        <w:rPr>
          <w:rFonts w:eastAsiaTheme="minorEastAsia"/>
          <w:sz w:val="24"/>
          <w:szCs w:val="24"/>
        </w:rPr>
        <w:t xml:space="preserve">zmienna objaśniająca stojąca przy parametrze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5</m:t>
            </m:r>
          </m:sub>
        </m:sSub>
      </m:oMath>
      <w:r w:rsidR="004F1CE5">
        <w:rPr>
          <w:rFonts w:eastAsiaTheme="minorEastAsia"/>
          <w:sz w:val="24"/>
          <w:szCs w:val="24"/>
        </w:rPr>
        <w:t xml:space="preserve"> (czyli </w:t>
      </w:r>
      <m:oMath>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t</m:t>
            </m:r>
          </m:sub>
        </m:sSub>
      </m:oMath>
      <w:r w:rsidR="004F1CE5">
        <w:rPr>
          <w:rFonts w:eastAsiaTheme="minorEastAsia"/>
          <w:sz w:val="24"/>
          <w:szCs w:val="24"/>
        </w:rPr>
        <w:t xml:space="preserve"> = liczba bankomatów) okazuje się silnie (akurat dodatnio) liniowo skorelowana z inną zmienną objaśniającą, a mianowicie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t</m:t>
            </m:r>
          </m:sub>
        </m:sSub>
      </m:oMath>
      <w:r w:rsidR="004F1CE5">
        <w:rPr>
          <w:rFonts w:eastAsiaTheme="minorEastAsia"/>
          <w:sz w:val="24"/>
          <w:szCs w:val="24"/>
        </w:rPr>
        <w:t xml:space="preserve"> = liczbą wydanych kart płatniczych, co łatwo zauważyć na poniższych wykresach</w:t>
      </w:r>
      <w:r w:rsidR="00C91EE9">
        <w:rPr>
          <w:rFonts w:eastAsiaTheme="minorEastAsia"/>
          <w:sz w:val="24"/>
          <w:szCs w:val="24"/>
        </w:rPr>
        <w:t xml:space="preserve"> (wykres liniowy – po lewej stronie; wykres rozrzutu – po prawej stronie).</w:t>
      </w:r>
    </w:p>
    <w:p w:rsidR="00E2202F" w:rsidRDefault="00871711" w:rsidP="009E096C">
      <w:pPr>
        <w:pStyle w:val="Akapitzlist"/>
        <w:spacing w:after="120"/>
        <w:ind w:left="1440"/>
        <w:contextualSpacing w:val="0"/>
        <w:rPr>
          <w:sz w:val="24"/>
          <w:szCs w:val="24"/>
        </w:rPr>
      </w:pPr>
      <w:r>
        <w:rPr>
          <w:noProof/>
          <w:sz w:val="24"/>
          <w:szCs w:val="24"/>
          <w:lang w:eastAsia="pl-PL"/>
        </w:rPr>
        <w:lastRenderedPageBreak/>
        <w:drawing>
          <wp:inline distT="0" distB="0" distL="0" distR="0">
            <wp:extent cx="3024000" cy="2012400"/>
            <wp:effectExtent l="0" t="0" r="508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4000" cy="2012400"/>
                    </a:xfrm>
                    <a:prstGeom prst="rect">
                      <a:avLst/>
                    </a:prstGeom>
                    <a:noFill/>
                    <a:ln>
                      <a:noFill/>
                    </a:ln>
                  </pic:spPr>
                </pic:pic>
              </a:graphicData>
            </a:graphic>
          </wp:inline>
        </w:drawing>
      </w:r>
      <w:r w:rsidR="004F1CE5">
        <w:rPr>
          <w:noProof/>
          <w:sz w:val="24"/>
          <w:szCs w:val="24"/>
          <w:lang w:eastAsia="pl-PL"/>
        </w:rPr>
        <w:drawing>
          <wp:inline distT="0" distB="0" distL="0" distR="0">
            <wp:extent cx="3024000" cy="2012400"/>
            <wp:effectExtent l="0" t="0" r="5080" b="698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4000" cy="2012400"/>
                    </a:xfrm>
                    <a:prstGeom prst="rect">
                      <a:avLst/>
                    </a:prstGeom>
                    <a:noFill/>
                    <a:ln>
                      <a:noFill/>
                    </a:ln>
                  </pic:spPr>
                </pic:pic>
              </a:graphicData>
            </a:graphic>
          </wp:inline>
        </w:drawing>
      </w:r>
    </w:p>
    <w:p w:rsidR="00C91EE9" w:rsidRPr="009F3BCF" w:rsidRDefault="00C91EE9" w:rsidP="007B77E3">
      <w:pPr>
        <w:pStyle w:val="Akapitzlist"/>
        <w:spacing w:after="120"/>
        <w:ind w:left="1440"/>
        <w:contextualSpacing w:val="0"/>
        <w:rPr>
          <w:sz w:val="24"/>
          <w:szCs w:val="24"/>
        </w:rPr>
      </w:pPr>
      <w:r>
        <w:rPr>
          <w:sz w:val="24"/>
          <w:szCs w:val="24"/>
        </w:rPr>
        <w:t xml:space="preserve">Ponadto, fakt silnej liniowej korelacji obydwu zmiennych potwierdza także wartość współczynnika korelacji (obliczona za pomocą funkcji =WSP.KORELACJI(…,…)) wynosząca </w:t>
      </w:r>
      <w:r w:rsidR="009F3BCF">
        <w:rPr>
          <w:sz w:val="24"/>
          <w:szCs w:val="24"/>
        </w:rPr>
        <w:t xml:space="preserve">aż </w:t>
      </w:r>
      <w:r>
        <w:rPr>
          <w:sz w:val="24"/>
          <w:szCs w:val="24"/>
        </w:rPr>
        <w:t>ok. 0,955</w:t>
      </w:r>
      <w:r w:rsidR="009F3BCF">
        <w:rPr>
          <w:sz w:val="24"/>
          <w:szCs w:val="24"/>
        </w:rPr>
        <w:t xml:space="preserve">. Możemy zatem stwierdzić, że owszem, rozproszenie rozkładu </w:t>
      </w:r>
      <w:r w:rsidR="009F3BCF">
        <w:rPr>
          <w:i/>
          <w:sz w:val="24"/>
          <w:szCs w:val="24"/>
        </w:rPr>
        <w:t>a posteriori</w:t>
      </w:r>
      <w:r w:rsidR="009F3BCF">
        <w:rPr>
          <w:sz w:val="24"/>
          <w:szCs w:val="24"/>
        </w:rPr>
        <w:t xml:space="preserve"> – wbrew intuicji – jest większe od tego założonego </w:t>
      </w:r>
      <w:r w:rsidR="009F3BCF">
        <w:rPr>
          <w:i/>
          <w:sz w:val="24"/>
          <w:szCs w:val="24"/>
        </w:rPr>
        <w:t>a priori</w:t>
      </w:r>
      <w:r w:rsidR="009F3BCF">
        <w:rPr>
          <w:sz w:val="24"/>
          <w:szCs w:val="24"/>
        </w:rPr>
        <w:t xml:space="preserve"> (jakoby dane zamiast zmniejszyć, to zwiększyły niepewność wnioskowania), lecz wynika to z bardzo silnej liniowej korelacji (czyli prawie liniowej współzależności) zmiennej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t</m:t>
            </m:r>
          </m:sub>
        </m:sSub>
      </m:oMath>
      <w:r w:rsidR="009F3BCF">
        <w:rPr>
          <w:rFonts w:eastAsiaTheme="minorEastAsia"/>
          <w:sz w:val="24"/>
          <w:szCs w:val="24"/>
        </w:rPr>
        <w:t xml:space="preserve"> ze zmienną </w:t>
      </w:r>
      <m:oMath>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t</m:t>
            </m:r>
          </m:sub>
        </m:sSub>
      </m:oMath>
      <w:r w:rsidR="009F3BCF">
        <w:rPr>
          <w:rFonts w:eastAsiaTheme="minorEastAsia"/>
          <w:sz w:val="24"/>
          <w:szCs w:val="24"/>
        </w:rPr>
        <w:t xml:space="preserve">, wobec czego model ma trudność (objawiającą się dużym rozproszeniem </w:t>
      </w:r>
      <w:r w:rsidR="009F3BCF">
        <w:rPr>
          <w:rFonts w:eastAsiaTheme="minorEastAsia"/>
          <w:i/>
          <w:sz w:val="24"/>
          <w:szCs w:val="24"/>
        </w:rPr>
        <w:t>a posteriori</w:t>
      </w:r>
      <w:r w:rsidR="00592491">
        <w:rPr>
          <w:rFonts w:eastAsiaTheme="minorEastAsia"/>
          <w:sz w:val="24"/>
          <w:szCs w:val="24"/>
        </w:rPr>
        <w:t>) z </w:t>
      </w:r>
      <w:r w:rsidR="009F3BCF">
        <w:rPr>
          <w:rFonts w:eastAsiaTheme="minorEastAsia"/>
          <w:sz w:val="24"/>
          <w:szCs w:val="24"/>
        </w:rPr>
        <w:t>bardziej jednoznacznym wnioskowaniem o wpływie liczby bankomatów na wysokość wypłat gotówkowych z bankomatów.</w:t>
      </w:r>
    </w:p>
    <w:p w:rsidR="007B77E3" w:rsidRDefault="007B77E3" w:rsidP="007B77E3">
      <w:pPr>
        <w:pStyle w:val="Akapitzlist"/>
        <w:spacing w:after="120"/>
        <w:ind w:left="1440"/>
        <w:contextualSpacing w:val="0"/>
        <w:rPr>
          <w:sz w:val="24"/>
          <w:szCs w:val="24"/>
        </w:rPr>
      </w:pPr>
      <w:r w:rsidRPr="007B77E3">
        <w:rPr>
          <w:sz w:val="24"/>
          <w:szCs w:val="24"/>
        </w:rPr>
        <w:sym w:font="Wingdings" w:char="F0E0"/>
      </w:r>
      <w:r>
        <w:rPr>
          <w:sz w:val="24"/>
          <w:szCs w:val="24"/>
        </w:rPr>
        <w:t xml:space="preserve"> Uwaga: w praktyce należałoby się przyjrzeć wykresom skonstruowanym dla </w:t>
      </w:r>
      <w:r>
        <w:rPr>
          <w:i/>
          <w:sz w:val="24"/>
          <w:szCs w:val="24"/>
        </w:rPr>
        <w:t>każdego</w:t>
      </w:r>
      <w:r>
        <w:rPr>
          <w:sz w:val="24"/>
          <w:szCs w:val="24"/>
        </w:rPr>
        <w:t>, a nie tylko wybranego parametru strukturalnego; w ćwiczeniu ograniczyliśmy się tylko do jednego.</w:t>
      </w:r>
    </w:p>
    <w:p w:rsidR="00600EB2" w:rsidRPr="007B77E3" w:rsidRDefault="00600EB2" w:rsidP="007B77E3">
      <w:pPr>
        <w:pStyle w:val="Akapitzlist"/>
        <w:spacing w:after="120"/>
        <w:ind w:left="1440"/>
        <w:contextualSpacing w:val="0"/>
        <w:rPr>
          <w:sz w:val="24"/>
          <w:szCs w:val="24"/>
        </w:rPr>
      </w:pPr>
    </w:p>
    <w:p w:rsidR="0060442E" w:rsidRDefault="007B77E3" w:rsidP="007B77E3">
      <w:pPr>
        <w:pStyle w:val="Akapitzlist"/>
        <w:numPr>
          <w:ilvl w:val="1"/>
          <w:numId w:val="1"/>
        </w:numPr>
        <w:spacing w:after="120"/>
        <w:contextualSpacing w:val="0"/>
        <w:rPr>
          <w:sz w:val="24"/>
          <w:szCs w:val="24"/>
        </w:rPr>
      </w:pPr>
      <w:r>
        <w:rPr>
          <w:sz w:val="24"/>
          <w:szCs w:val="24"/>
        </w:rPr>
        <w:t>Przechodzimy do analizy charakterystyk liczbowych</w:t>
      </w:r>
      <w:r w:rsidR="00D14781">
        <w:rPr>
          <w:sz w:val="24"/>
          <w:szCs w:val="24"/>
        </w:rPr>
        <w:t xml:space="preserve"> – w tym celu przyglądamy się tabeli:</w:t>
      </w:r>
    </w:p>
    <w:p w:rsidR="00D14781" w:rsidRDefault="00D14781" w:rsidP="00D14781">
      <w:pPr>
        <w:pStyle w:val="Akapitzlist"/>
        <w:spacing w:after="120"/>
        <w:ind w:left="1440"/>
        <w:contextualSpacing w:val="0"/>
        <w:rPr>
          <w:sz w:val="24"/>
          <w:szCs w:val="24"/>
        </w:rPr>
      </w:pPr>
      <w:r w:rsidRPr="00D14781">
        <w:rPr>
          <w:sz w:val="24"/>
          <w:szCs w:val="24"/>
        </w:rPr>
        <w:drawing>
          <wp:inline distT="0" distB="0" distL="0" distR="0" wp14:anchorId="5ECAACDF" wp14:editId="74B99891">
            <wp:extent cx="5972810" cy="1960245"/>
            <wp:effectExtent l="0" t="0" r="8890" b="190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72810" cy="1960245"/>
                    </a:xfrm>
                    <a:prstGeom prst="rect">
                      <a:avLst/>
                    </a:prstGeom>
                  </pic:spPr>
                </pic:pic>
              </a:graphicData>
            </a:graphic>
          </wp:inline>
        </w:drawing>
      </w:r>
    </w:p>
    <w:p w:rsidR="00D14781" w:rsidRDefault="00D14781" w:rsidP="00D14781">
      <w:pPr>
        <w:pStyle w:val="Akapitzlist"/>
        <w:spacing w:after="120"/>
        <w:ind w:left="1440"/>
        <w:contextualSpacing w:val="0"/>
        <w:rPr>
          <w:sz w:val="24"/>
          <w:szCs w:val="24"/>
        </w:rPr>
      </w:pPr>
      <w:r>
        <w:rPr>
          <w:sz w:val="24"/>
          <w:szCs w:val="24"/>
        </w:rPr>
        <w:t>Z powyższych charakterystyk liczbowych interesują nas:</w:t>
      </w:r>
    </w:p>
    <w:p w:rsidR="00D14781" w:rsidRPr="000502FC" w:rsidRDefault="00D14781" w:rsidP="00D14781">
      <w:pPr>
        <w:pStyle w:val="Akapitzlist"/>
        <w:numPr>
          <w:ilvl w:val="0"/>
          <w:numId w:val="6"/>
        </w:numPr>
        <w:spacing w:after="120"/>
        <w:contextualSpacing w:val="0"/>
        <w:rPr>
          <w:sz w:val="24"/>
          <w:szCs w:val="24"/>
        </w:rPr>
      </w:pPr>
      <w:r>
        <w:rPr>
          <w:sz w:val="24"/>
          <w:szCs w:val="24"/>
        </w:rPr>
        <w:t xml:space="preserve">Wartości oczekiwane, modalne i mediany </w:t>
      </w:r>
      <w:r>
        <w:rPr>
          <w:i/>
          <w:sz w:val="24"/>
          <w:szCs w:val="24"/>
        </w:rPr>
        <w:t>a posteriori</w:t>
      </w:r>
      <w:r>
        <w:rPr>
          <w:sz w:val="24"/>
          <w:szCs w:val="24"/>
        </w:rPr>
        <w:t xml:space="preserve"> (dla danego parametru równe sobie, ponieważ…?) – porównujemy je z ich odpowiednikami </w:t>
      </w:r>
      <w:r>
        <w:rPr>
          <w:i/>
          <w:sz w:val="24"/>
          <w:szCs w:val="24"/>
        </w:rPr>
        <w:t>a priori</w:t>
      </w:r>
      <w:r>
        <w:rPr>
          <w:sz w:val="24"/>
          <w:szCs w:val="24"/>
        </w:rPr>
        <w:t xml:space="preserve">, czyli </w:t>
      </w:r>
      <m:oMath>
        <m:r>
          <w:rPr>
            <w:rFonts w:ascii="Cambria Math" w:hAnsi="Cambria Math"/>
            <w:sz w:val="24"/>
            <w:szCs w:val="24"/>
          </w:rPr>
          <m:t>E</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i</m:t>
                </m:r>
              </m:sub>
            </m:sSub>
          </m:e>
        </m:d>
        <m:r>
          <w:rPr>
            <w:rFonts w:ascii="Cambria Math" w:hAnsi="Cambria Math"/>
            <w:sz w:val="24"/>
            <w:szCs w:val="24"/>
          </w:rPr>
          <m:t>=Mo</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i</m:t>
                </m:r>
              </m:sub>
            </m:sSub>
          </m:e>
        </m:d>
        <m:r>
          <w:rPr>
            <w:rFonts w:ascii="Cambria Math" w:hAnsi="Cambria Math"/>
            <w:sz w:val="24"/>
            <w:szCs w:val="24"/>
          </w:rPr>
          <m:t>=Me(</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i</m:t>
            </m:r>
          </m:sub>
        </m:sSub>
        <m:r>
          <w:rPr>
            <w:rFonts w:ascii="Cambria Math" w:hAnsi="Cambria Math"/>
            <w:sz w:val="24"/>
            <w:szCs w:val="24"/>
          </w:rPr>
          <m:t>)</m:t>
        </m:r>
      </m:oMath>
      <w:r>
        <w:rPr>
          <w:rFonts w:eastAsiaTheme="minorEastAsia"/>
          <w:sz w:val="24"/>
          <w:szCs w:val="24"/>
        </w:rPr>
        <w:t xml:space="preserve"> – także równymi sobie (dla danego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i</m:t>
            </m:r>
          </m:sub>
        </m:sSub>
      </m:oMath>
      <w:r>
        <w:rPr>
          <w:rFonts w:eastAsiaTheme="minorEastAsia"/>
          <w:sz w:val="24"/>
          <w:szCs w:val="24"/>
        </w:rPr>
        <w:t>). Ponadto, ponieważ przyjęto (jak to zwykle w</w:t>
      </w:r>
      <w:r w:rsidR="00826A8D">
        <w:rPr>
          <w:rFonts w:eastAsiaTheme="minorEastAsia"/>
          <w:sz w:val="24"/>
          <w:szCs w:val="24"/>
        </w:rPr>
        <w:t> </w:t>
      </w:r>
      <w:r>
        <w:rPr>
          <w:rFonts w:eastAsiaTheme="minorEastAsia"/>
          <w:sz w:val="24"/>
          <w:szCs w:val="24"/>
        </w:rPr>
        <w:t xml:space="preserve">modelach regresji), że </w:t>
      </w:r>
      <m:oMath>
        <m:r>
          <w:rPr>
            <w:rFonts w:ascii="Cambria Math" w:eastAsiaTheme="minorEastAsia" w:hAnsi="Cambria Math"/>
            <w:sz w:val="24"/>
            <w:szCs w:val="24"/>
          </w:rPr>
          <m:t>E</m:t>
        </m:r>
        <m:d>
          <m:dPr>
            <m:ctrlPr>
              <w:rPr>
                <w:rFonts w:ascii="Cambria Math" w:eastAsiaTheme="minorEastAsia" w:hAnsi="Cambria Math"/>
                <w:i/>
                <w:sz w:val="24"/>
                <w:szCs w:val="24"/>
              </w:rPr>
            </m:ctrlPr>
          </m:dPr>
          <m:e>
            <m:r>
              <w:rPr>
                <w:rFonts w:ascii="Cambria Math" w:eastAsiaTheme="minorEastAsia" w:hAnsi="Cambria Math"/>
                <w:sz w:val="24"/>
                <w:szCs w:val="24"/>
              </w:rPr>
              <m:t>β</m:t>
            </m:r>
          </m:e>
        </m:d>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0</m:t>
            </m:r>
          </m:e>
          <m:sub>
            <m:d>
              <m:dPr>
                <m:ctrlPr>
                  <w:rPr>
                    <w:rFonts w:ascii="Cambria Math" w:eastAsiaTheme="minorEastAsia" w:hAnsi="Cambria Math"/>
                    <w:i/>
                    <w:sz w:val="24"/>
                    <w:szCs w:val="24"/>
                  </w:rPr>
                </m:ctrlPr>
              </m:dPr>
              <m:e>
                <m:r>
                  <w:rPr>
                    <w:rFonts w:ascii="Cambria Math" w:eastAsiaTheme="minorEastAsia" w:hAnsi="Cambria Math"/>
                    <w:sz w:val="24"/>
                    <w:szCs w:val="24"/>
                  </w:rPr>
                  <m:t>k×1</m:t>
                </m:r>
              </m:e>
            </m:d>
          </m:sub>
        </m:sSub>
        <m:r>
          <w:rPr>
            <w:rFonts w:ascii="Cambria Math" w:eastAsiaTheme="minorEastAsia" w:hAnsi="Cambria Math"/>
            <w:sz w:val="24"/>
            <w:szCs w:val="24"/>
          </w:rPr>
          <m:t>=a</m:t>
        </m:r>
      </m:oMath>
      <w:r>
        <w:rPr>
          <w:rFonts w:eastAsiaTheme="minorEastAsia"/>
          <w:sz w:val="24"/>
          <w:szCs w:val="24"/>
        </w:rPr>
        <w:t xml:space="preserve">, zachodzi </w:t>
      </w:r>
      <m:oMath>
        <m:r>
          <w:rPr>
            <w:rFonts w:ascii="Cambria Math" w:hAnsi="Cambria Math"/>
            <w:sz w:val="24"/>
            <w:szCs w:val="24"/>
          </w:rPr>
          <m:t>E</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i</m:t>
                </m:r>
              </m:sub>
            </m:sSub>
          </m:e>
        </m:d>
        <m:r>
          <w:rPr>
            <w:rFonts w:ascii="Cambria Math" w:hAnsi="Cambria Math"/>
            <w:sz w:val="24"/>
            <w:szCs w:val="24"/>
          </w:rPr>
          <m:t>=Mo</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i</m:t>
                </m:r>
              </m:sub>
            </m:sSub>
          </m:e>
        </m:d>
        <m:r>
          <w:rPr>
            <w:rFonts w:ascii="Cambria Math" w:hAnsi="Cambria Math"/>
            <w:sz w:val="24"/>
            <w:szCs w:val="24"/>
          </w:rPr>
          <m:t>=Me</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i</m:t>
                </m:r>
              </m:sub>
            </m:sSub>
          </m:e>
        </m:d>
        <m:r>
          <w:rPr>
            <w:rFonts w:ascii="Cambria Math" w:hAnsi="Cambria Math"/>
            <w:sz w:val="24"/>
            <w:szCs w:val="24"/>
          </w:rPr>
          <m:t>=0</m:t>
        </m:r>
      </m:oMath>
      <w:r>
        <w:rPr>
          <w:rFonts w:eastAsiaTheme="minorEastAsia"/>
          <w:sz w:val="24"/>
          <w:szCs w:val="24"/>
        </w:rPr>
        <w:t xml:space="preserve"> dla każdego </w:t>
      </w:r>
      <m:oMath>
        <m:r>
          <w:rPr>
            <w:rFonts w:ascii="Cambria Math" w:eastAsiaTheme="minorEastAsia" w:hAnsi="Cambria Math"/>
            <w:sz w:val="24"/>
            <w:szCs w:val="24"/>
          </w:rPr>
          <m:t>i=0, 1, …, k-1</m:t>
        </m:r>
      </m:oMath>
      <w:r>
        <w:rPr>
          <w:rFonts w:eastAsiaTheme="minorEastAsia"/>
          <w:sz w:val="24"/>
          <w:szCs w:val="24"/>
        </w:rPr>
        <w:t>.</w:t>
      </w:r>
      <w:r w:rsidR="006A11E8">
        <w:rPr>
          <w:rFonts w:eastAsiaTheme="minorEastAsia"/>
          <w:sz w:val="24"/>
          <w:szCs w:val="24"/>
        </w:rPr>
        <w:t xml:space="preserve"> Z tabelki wynika, że wartości owych charakterystyk w rozkładach </w:t>
      </w:r>
      <w:r w:rsidR="006A11E8">
        <w:rPr>
          <w:rFonts w:eastAsiaTheme="minorEastAsia"/>
          <w:i/>
          <w:sz w:val="24"/>
          <w:szCs w:val="24"/>
        </w:rPr>
        <w:t>a</w:t>
      </w:r>
      <w:r w:rsidR="00826A8D">
        <w:rPr>
          <w:rFonts w:eastAsiaTheme="minorEastAsia"/>
          <w:i/>
          <w:sz w:val="24"/>
          <w:szCs w:val="24"/>
        </w:rPr>
        <w:t> </w:t>
      </w:r>
      <w:r w:rsidR="006A11E8">
        <w:rPr>
          <w:rFonts w:eastAsiaTheme="minorEastAsia"/>
          <w:i/>
          <w:sz w:val="24"/>
          <w:szCs w:val="24"/>
        </w:rPr>
        <w:t>posteriori</w:t>
      </w:r>
      <w:r w:rsidR="006A11E8">
        <w:rPr>
          <w:rFonts w:eastAsiaTheme="minorEastAsia"/>
          <w:sz w:val="24"/>
          <w:szCs w:val="24"/>
        </w:rPr>
        <w:t xml:space="preserve"> są mniej lub bardziej przesunięte od ich wartości (równej 0) w rozkładach </w:t>
      </w:r>
      <w:r w:rsidR="006A11E8">
        <w:rPr>
          <w:rFonts w:eastAsiaTheme="minorEastAsia"/>
          <w:i/>
          <w:sz w:val="24"/>
          <w:szCs w:val="24"/>
        </w:rPr>
        <w:t>a priori</w:t>
      </w:r>
      <w:r w:rsidR="006A11E8">
        <w:rPr>
          <w:rFonts w:eastAsiaTheme="minorEastAsia"/>
          <w:sz w:val="24"/>
          <w:szCs w:val="24"/>
        </w:rPr>
        <w:t xml:space="preserve">, co oznacza, że dane zmodyfikowały (mniej lub bardziej znacząco) nasze wstępne założenia / wstępną wiedzę / wstępny (aprioryczny) obraz niepewności odnośnie </w:t>
      </w:r>
      <w:r w:rsidR="006A11E8" w:rsidRPr="006A11E8">
        <w:rPr>
          <w:rFonts w:eastAsiaTheme="minorEastAsia"/>
          <w:sz w:val="24"/>
          <w:szCs w:val="24"/>
          <w:u w:val="single"/>
        </w:rPr>
        <w:t>położenia</w:t>
      </w:r>
      <w:r w:rsidR="006A11E8">
        <w:rPr>
          <w:rFonts w:eastAsiaTheme="minorEastAsia"/>
          <w:sz w:val="24"/>
          <w:szCs w:val="24"/>
        </w:rPr>
        <w:t xml:space="preserve"> poszczególnych parametrów.</w:t>
      </w:r>
    </w:p>
    <w:p w:rsidR="000502FC" w:rsidRDefault="000502FC" w:rsidP="000502FC">
      <w:pPr>
        <w:pStyle w:val="Akapitzlist"/>
        <w:spacing w:after="120"/>
        <w:ind w:left="2160"/>
        <w:contextualSpacing w:val="0"/>
        <w:rPr>
          <w:rFonts w:eastAsiaTheme="minorEastAsia"/>
          <w:sz w:val="24"/>
          <w:szCs w:val="24"/>
        </w:rPr>
      </w:pPr>
      <w:r>
        <w:rPr>
          <w:rFonts w:eastAsiaTheme="minorEastAsia"/>
          <w:sz w:val="24"/>
          <w:szCs w:val="24"/>
        </w:rPr>
        <w:lastRenderedPageBreak/>
        <w:t xml:space="preserve">Ponadto, przypomnijmy, że (przy pewnych dodatkowych założeniach) każdą z rozważanych tu wielkości (równych sobie): wartość oczekiwaną/modalną/medianę </w:t>
      </w:r>
      <w:r>
        <w:rPr>
          <w:rFonts w:eastAsiaTheme="minorEastAsia"/>
          <w:i/>
          <w:sz w:val="24"/>
          <w:szCs w:val="24"/>
        </w:rPr>
        <w:t>a posteriori</w:t>
      </w:r>
      <w:r>
        <w:rPr>
          <w:rFonts w:eastAsiaTheme="minorEastAsia"/>
          <w:sz w:val="24"/>
          <w:szCs w:val="24"/>
        </w:rPr>
        <w:t xml:space="preserve"> danego parametru strukturalnego, można traktować jako </w:t>
      </w:r>
      <w:r>
        <w:rPr>
          <w:rFonts w:eastAsiaTheme="minorEastAsia"/>
          <w:i/>
          <w:sz w:val="24"/>
          <w:szCs w:val="24"/>
        </w:rPr>
        <w:t>optymalną bayesowską ocenę punktową parametru</w:t>
      </w:r>
      <w:r>
        <w:rPr>
          <w:rFonts w:eastAsiaTheme="minorEastAsia"/>
          <w:sz w:val="24"/>
          <w:szCs w:val="24"/>
        </w:rPr>
        <w:t xml:space="preserve"> – i interpretować ją tak samo, jak robi się to z oceną MNK (</w:t>
      </w:r>
      <m:oMath>
        <m:sSub>
          <m:sSubPr>
            <m:ctrlPr>
              <w:rPr>
                <w:rFonts w:ascii="Cambria Math" w:eastAsiaTheme="minorEastAsia" w:hAnsi="Cambria Math"/>
                <w:i/>
                <w:sz w:val="24"/>
                <w:szCs w:val="24"/>
              </w:rPr>
            </m:ctrlPr>
          </m:sSubPr>
          <m:e>
            <m:acc>
              <m:accPr>
                <m:ctrlPr>
                  <w:rPr>
                    <w:rFonts w:ascii="Cambria Math" w:eastAsiaTheme="minorEastAsia" w:hAnsi="Cambria Math"/>
                    <w:i/>
                    <w:sz w:val="24"/>
                    <w:szCs w:val="24"/>
                  </w:rPr>
                </m:ctrlPr>
              </m:accPr>
              <m:e>
                <m:r>
                  <w:rPr>
                    <w:rFonts w:ascii="Cambria Math" w:eastAsiaTheme="minorEastAsia" w:hAnsi="Cambria Math"/>
                    <w:sz w:val="24"/>
                    <w:szCs w:val="24"/>
                  </w:rPr>
                  <m:t>β</m:t>
                </m:r>
              </m:e>
            </m:acc>
          </m:e>
          <m:sub>
            <m:r>
              <w:rPr>
                <w:rFonts w:ascii="Cambria Math" w:eastAsiaTheme="minorEastAsia" w:hAnsi="Cambria Math"/>
                <w:sz w:val="24"/>
                <w:szCs w:val="24"/>
              </w:rPr>
              <m:t>i</m:t>
            </m:r>
          </m:sub>
        </m:sSub>
      </m:oMath>
      <w:r>
        <w:rPr>
          <w:rFonts w:eastAsiaTheme="minorEastAsia"/>
          <w:sz w:val="24"/>
          <w:szCs w:val="24"/>
        </w:rPr>
        <w:t xml:space="preserve">) na gruncie ekonometrii </w:t>
      </w:r>
      <w:proofErr w:type="spellStart"/>
      <w:r>
        <w:rPr>
          <w:rFonts w:eastAsiaTheme="minorEastAsia"/>
          <w:sz w:val="24"/>
          <w:szCs w:val="24"/>
        </w:rPr>
        <w:t>niebayesowskiej</w:t>
      </w:r>
      <w:proofErr w:type="spellEnd"/>
      <w:r>
        <w:rPr>
          <w:rFonts w:eastAsiaTheme="minorEastAsia"/>
          <w:sz w:val="24"/>
          <w:szCs w:val="24"/>
        </w:rPr>
        <w:t xml:space="preserve"> („klasycznej”) – to proszę sobie koniecznie przypomnieć!</w:t>
      </w:r>
    </w:p>
    <w:p w:rsidR="005A0CC1" w:rsidRPr="005A0CC1" w:rsidRDefault="003F6A88" w:rsidP="00D14781">
      <w:pPr>
        <w:pStyle w:val="Akapitzlist"/>
        <w:numPr>
          <w:ilvl w:val="0"/>
          <w:numId w:val="6"/>
        </w:numPr>
        <w:spacing w:after="120"/>
        <w:contextualSpacing w:val="0"/>
        <w:rPr>
          <w:sz w:val="24"/>
          <w:szCs w:val="24"/>
        </w:rPr>
      </w:pPr>
      <w:r w:rsidRPr="00721260">
        <w:rPr>
          <w:rFonts w:eastAsiaTheme="minorEastAsia"/>
          <w:sz w:val="24"/>
          <w:szCs w:val="24"/>
        </w:rPr>
        <w:t xml:space="preserve">Odchylenia standardowe </w:t>
      </w:r>
      <w:r w:rsidRPr="00721260">
        <w:rPr>
          <w:rFonts w:eastAsiaTheme="minorEastAsia"/>
          <w:i/>
          <w:sz w:val="24"/>
          <w:szCs w:val="24"/>
        </w:rPr>
        <w:t>a posteriori</w:t>
      </w:r>
      <w:r w:rsidRPr="00721260">
        <w:rPr>
          <w:rFonts w:eastAsiaTheme="minorEastAsia"/>
          <w:sz w:val="24"/>
          <w:szCs w:val="24"/>
        </w:rPr>
        <w:t xml:space="preserve"> poszczególnych parametrów strukturalnych, czyli </w:t>
      </w:r>
      <m:oMath>
        <m:r>
          <w:rPr>
            <w:rFonts w:ascii="Cambria Math" w:eastAsiaTheme="minorEastAsia" w:hAnsi="Cambria Math"/>
            <w:sz w:val="24"/>
            <w:szCs w:val="24"/>
          </w:rPr>
          <m:t>D(</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i</m:t>
            </m:r>
          </m:sub>
        </m:sSub>
        <m:r>
          <w:rPr>
            <w:rFonts w:ascii="Cambria Math" w:eastAsiaTheme="minorEastAsia" w:hAnsi="Cambria Math"/>
            <w:sz w:val="24"/>
            <w:szCs w:val="24"/>
          </w:rPr>
          <m:t>|y)</m:t>
        </m:r>
      </m:oMath>
      <w:r w:rsidRPr="00721260">
        <w:rPr>
          <w:rFonts w:eastAsiaTheme="minorEastAsia"/>
          <w:sz w:val="24"/>
          <w:szCs w:val="24"/>
        </w:rPr>
        <w:t xml:space="preserve"> – porównujemy je z odchyleniami standardowymi </w:t>
      </w:r>
      <w:r w:rsidRPr="00721260">
        <w:rPr>
          <w:rFonts w:eastAsiaTheme="minorEastAsia"/>
          <w:i/>
          <w:sz w:val="24"/>
          <w:szCs w:val="24"/>
        </w:rPr>
        <w:t>a priori</w:t>
      </w:r>
      <w:r w:rsidRPr="00721260">
        <w:rPr>
          <w:rFonts w:eastAsiaTheme="minorEastAsia"/>
          <w:sz w:val="24"/>
          <w:szCs w:val="24"/>
        </w:rPr>
        <w:t xml:space="preserve"> parametrów, czyli </w:t>
      </w:r>
      <m:oMath>
        <m:r>
          <w:rPr>
            <w:rFonts w:ascii="Cambria Math" w:eastAsiaTheme="minorEastAsia" w:hAnsi="Cambria Math"/>
            <w:sz w:val="24"/>
            <w:szCs w:val="24"/>
          </w:rPr>
          <m:t>D(</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i</m:t>
            </m:r>
          </m:sub>
        </m:sSub>
        <m:r>
          <w:rPr>
            <w:rFonts w:ascii="Cambria Math" w:eastAsiaTheme="minorEastAsia" w:hAnsi="Cambria Math"/>
            <w:sz w:val="24"/>
            <w:szCs w:val="24"/>
          </w:rPr>
          <m:t>)</m:t>
        </m:r>
      </m:oMath>
      <w:r w:rsidRPr="00721260">
        <w:rPr>
          <w:rFonts w:eastAsiaTheme="minorEastAsia"/>
          <w:sz w:val="24"/>
          <w:szCs w:val="24"/>
        </w:rPr>
        <w:t xml:space="preserve">, które akurat wynoszą 10 dla każdego </w:t>
      </w:r>
      <m:oMath>
        <m:r>
          <w:rPr>
            <w:rFonts w:ascii="Cambria Math" w:eastAsiaTheme="minorEastAsia" w:hAnsi="Cambria Math"/>
            <w:sz w:val="24"/>
            <w:szCs w:val="24"/>
          </w:rPr>
          <m:t>i=0, 1, …, k-1</m:t>
        </m:r>
      </m:oMath>
      <w:r w:rsidRPr="00721260">
        <w:rPr>
          <w:rFonts w:eastAsiaTheme="minorEastAsia"/>
          <w:sz w:val="24"/>
          <w:szCs w:val="24"/>
        </w:rPr>
        <w:t xml:space="preserve"> (ponieważ w rozkładzie </w:t>
      </w:r>
      <w:r w:rsidRPr="00721260">
        <w:rPr>
          <w:rFonts w:eastAsiaTheme="minorEastAsia"/>
          <w:i/>
          <w:sz w:val="24"/>
          <w:szCs w:val="24"/>
        </w:rPr>
        <w:t>a priori</w:t>
      </w:r>
      <w:r w:rsidRPr="00721260">
        <w:rPr>
          <w:rFonts w:eastAsiaTheme="minorEastAsia"/>
          <w:sz w:val="24"/>
          <w:szCs w:val="24"/>
        </w:rPr>
        <w:t xml:space="preserve"> przyjęto </w:t>
      </w:r>
      <m:oMath>
        <m:r>
          <w:rPr>
            <w:rFonts w:ascii="Cambria Math" w:eastAsiaTheme="minorEastAsia" w:hAnsi="Cambria Math"/>
            <w:sz w:val="24"/>
            <w:szCs w:val="24"/>
          </w:rPr>
          <m:t>V</m:t>
        </m:r>
        <m:d>
          <m:dPr>
            <m:ctrlPr>
              <w:rPr>
                <w:rFonts w:ascii="Cambria Math" w:eastAsiaTheme="minorEastAsia" w:hAnsi="Cambria Math"/>
                <w:i/>
                <w:sz w:val="24"/>
                <w:szCs w:val="24"/>
              </w:rPr>
            </m:ctrlPr>
          </m:dPr>
          <m:e>
            <m:r>
              <w:rPr>
                <w:rFonts w:ascii="Cambria Math" w:eastAsiaTheme="minorEastAsia" w:hAnsi="Cambria Math"/>
                <w:sz w:val="24"/>
                <w:szCs w:val="24"/>
              </w:rPr>
              <m:t>β</m:t>
            </m:r>
          </m:e>
        </m:d>
        <m:r>
          <w:rPr>
            <w:rFonts w:ascii="Cambria Math" w:eastAsiaTheme="minorEastAsia" w:hAnsi="Cambria Math"/>
            <w:sz w:val="24"/>
            <w:szCs w:val="24"/>
          </w:rPr>
          <m:t>=100</m:t>
        </m:r>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k</m:t>
            </m:r>
          </m:sub>
        </m:sSub>
      </m:oMath>
      <w:r w:rsidRPr="00721260">
        <w:rPr>
          <w:rFonts w:eastAsiaTheme="minorEastAsia"/>
          <w:sz w:val="24"/>
          <w:szCs w:val="24"/>
        </w:rPr>
        <w:t>)</w:t>
      </w:r>
      <w:r w:rsidR="00721260" w:rsidRPr="00721260">
        <w:rPr>
          <w:rFonts w:eastAsiaTheme="minorEastAsia"/>
          <w:sz w:val="24"/>
          <w:szCs w:val="24"/>
        </w:rPr>
        <w:t xml:space="preserve">. Widzimy, że uzyskane wartości </w:t>
      </w:r>
      <m:oMath>
        <m:r>
          <w:rPr>
            <w:rFonts w:ascii="Cambria Math" w:eastAsiaTheme="minorEastAsia" w:hAnsi="Cambria Math"/>
            <w:sz w:val="24"/>
            <w:szCs w:val="24"/>
          </w:rPr>
          <m:t>D(</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i</m:t>
            </m:r>
          </m:sub>
        </m:sSub>
        <m:r>
          <w:rPr>
            <w:rFonts w:ascii="Cambria Math" w:eastAsiaTheme="minorEastAsia" w:hAnsi="Cambria Math"/>
            <w:sz w:val="24"/>
            <w:szCs w:val="24"/>
          </w:rPr>
          <m:t>|y)</m:t>
        </m:r>
      </m:oMath>
      <w:r w:rsidR="00721260" w:rsidRPr="00721260">
        <w:rPr>
          <w:rFonts w:eastAsiaTheme="minorEastAsia"/>
          <w:sz w:val="24"/>
          <w:szCs w:val="24"/>
        </w:rPr>
        <w:t xml:space="preserve"> dla poszczegó</w:t>
      </w:r>
      <w:r w:rsidR="00721260">
        <w:rPr>
          <w:rFonts w:eastAsiaTheme="minorEastAsia"/>
          <w:sz w:val="24"/>
          <w:szCs w:val="24"/>
        </w:rPr>
        <w:t xml:space="preserve">lnych </w:t>
      </w:r>
      <m:oMath>
        <m:r>
          <w:rPr>
            <w:rFonts w:ascii="Cambria Math" w:eastAsiaTheme="minorEastAsia" w:hAnsi="Cambria Math"/>
            <w:sz w:val="24"/>
            <w:szCs w:val="24"/>
          </w:rPr>
          <m:t>i=0, 1, …, k-1</m:t>
        </m:r>
      </m:oMath>
      <w:r w:rsidR="00721260" w:rsidRPr="00721260">
        <w:rPr>
          <w:rFonts w:eastAsiaTheme="minorEastAsia"/>
          <w:sz w:val="24"/>
          <w:szCs w:val="24"/>
        </w:rPr>
        <w:t xml:space="preserve"> różnią</w:t>
      </w:r>
      <w:r w:rsidR="00721260">
        <w:rPr>
          <w:rFonts w:eastAsiaTheme="minorEastAsia"/>
          <w:sz w:val="24"/>
          <w:szCs w:val="24"/>
        </w:rPr>
        <w:t xml:space="preserve"> </w:t>
      </w:r>
      <w:r w:rsidR="00721260" w:rsidRPr="00721260">
        <w:rPr>
          <w:rFonts w:eastAsiaTheme="minorEastAsia"/>
          <w:sz w:val="24"/>
          <w:szCs w:val="24"/>
        </w:rPr>
        <w:t xml:space="preserve">się od </w:t>
      </w:r>
      <m:oMath>
        <m:r>
          <w:rPr>
            <w:rFonts w:ascii="Cambria Math" w:eastAsiaTheme="minorEastAsia" w:hAnsi="Cambria Math"/>
            <w:sz w:val="24"/>
            <w:szCs w:val="24"/>
          </w:rPr>
          <m:t>D</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i</m:t>
                </m:r>
              </m:sub>
            </m:sSub>
          </m:e>
        </m:d>
        <m:r>
          <w:rPr>
            <w:rFonts w:ascii="Cambria Math" w:eastAsiaTheme="minorEastAsia" w:hAnsi="Cambria Math"/>
            <w:sz w:val="24"/>
            <w:szCs w:val="24"/>
          </w:rPr>
          <m:t>=10</m:t>
        </m:r>
      </m:oMath>
      <w:r w:rsidR="00721260" w:rsidRPr="00721260">
        <w:rPr>
          <w:rFonts w:eastAsiaTheme="minorEastAsia"/>
          <w:sz w:val="24"/>
          <w:szCs w:val="24"/>
        </w:rPr>
        <w:t xml:space="preserve">, przy czym tylko dla parametru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6</m:t>
            </m:r>
          </m:sub>
        </m:sSub>
      </m:oMath>
      <w:r w:rsidR="00721260" w:rsidRPr="00721260">
        <w:rPr>
          <w:rFonts w:eastAsiaTheme="minorEastAsia"/>
          <w:sz w:val="24"/>
          <w:szCs w:val="24"/>
        </w:rPr>
        <w:t xml:space="preserve"> (przy liczbie kart płatniczych) wartość</w:t>
      </w:r>
      <w:r w:rsidR="00721260">
        <w:rPr>
          <w:rFonts w:eastAsiaTheme="minorEastAsia"/>
          <w:sz w:val="24"/>
          <w:szCs w:val="24"/>
        </w:rPr>
        <w:t xml:space="preserve"> odchylenia standardowego </w:t>
      </w:r>
      <w:r w:rsidR="00721260">
        <w:rPr>
          <w:rFonts w:eastAsiaTheme="minorEastAsia"/>
          <w:i/>
          <w:sz w:val="24"/>
          <w:szCs w:val="24"/>
        </w:rPr>
        <w:t xml:space="preserve">a posteriori </w:t>
      </w:r>
      <w:r w:rsidR="00721260">
        <w:rPr>
          <w:rFonts w:eastAsiaTheme="minorEastAsia"/>
          <w:sz w:val="24"/>
          <w:szCs w:val="24"/>
        </w:rPr>
        <w:t xml:space="preserve">jest niższa niż 10 (bo </w:t>
      </w:r>
      <m:oMath>
        <m:r>
          <w:rPr>
            <w:rFonts w:ascii="Cambria Math" w:eastAsiaTheme="minorEastAsia" w:hAnsi="Cambria Math"/>
            <w:sz w:val="24"/>
            <w:szCs w:val="24"/>
          </w:rPr>
          <m:t>D</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6</m:t>
                </m:r>
              </m:sub>
            </m:sSub>
          </m:e>
          <m:e>
            <m:r>
              <w:rPr>
                <w:rFonts w:ascii="Cambria Math" w:eastAsiaTheme="minorEastAsia" w:hAnsi="Cambria Math"/>
                <w:sz w:val="24"/>
                <w:szCs w:val="24"/>
              </w:rPr>
              <m:t>y</m:t>
            </m:r>
          </m:e>
        </m:d>
        <m:r>
          <w:rPr>
            <w:rFonts w:ascii="Cambria Math" w:eastAsiaTheme="minorEastAsia" w:hAnsi="Cambria Math"/>
            <w:sz w:val="24"/>
            <w:szCs w:val="24"/>
          </w:rPr>
          <m:t>≈0,15</m:t>
        </m:r>
      </m:oMath>
      <w:r w:rsidR="00721260">
        <w:rPr>
          <w:rFonts w:eastAsiaTheme="minorEastAsia"/>
          <w:sz w:val="24"/>
          <w:szCs w:val="24"/>
        </w:rPr>
        <w:t xml:space="preserve">). Można by zatem przypuszczać, że w ogólności (z wyjątkiem parametru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6</m:t>
            </m:r>
          </m:sub>
        </m:sSub>
      </m:oMath>
      <w:r w:rsidR="00BE4238">
        <w:rPr>
          <w:rFonts w:eastAsiaTheme="minorEastAsia"/>
          <w:sz w:val="24"/>
          <w:szCs w:val="24"/>
        </w:rPr>
        <w:t xml:space="preserve">) informacja płynąca z danych zwiększyła niepewność wnioskowania o parametrach </w:t>
      </w:r>
      <w:r w:rsidR="00CD0F13">
        <w:rPr>
          <w:rFonts w:eastAsiaTheme="minorEastAsia"/>
          <w:sz w:val="24"/>
          <w:szCs w:val="24"/>
        </w:rPr>
        <w:t>(co można by odbierać negatywnie),</w:t>
      </w:r>
      <w:r w:rsidR="00BE4238">
        <w:rPr>
          <w:rFonts w:eastAsiaTheme="minorEastAsia"/>
          <w:sz w:val="24"/>
          <w:szCs w:val="24"/>
        </w:rPr>
        <w:t xml:space="preserve"> ALE</w:t>
      </w:r>
      <w:r w:rsidR="00CD0F13">
        <w:rPr>
          <w:rFonts w:eastAsiaTheme="minorEastAsia"/>
          <w:sz w:val="24"/>
          <w:szCs w:val="24"/>
        </w:rPr>
        <w:t>(!)</w:t>
      </w:r>
      <w:r w:rsidR="00BE4238">
        <w:rPr>
          <w:rFonts w:eastAsiaTheme="minorEastAsia"/>
          <w:sz w:val="24"/>
          <w:szCs w:val="24"/>
        </w:rPr>
        <w:t xml:space="preserve"> warto przyglądnąć się</w:t>
      </w:r>
      <w:r w:rsidR="00CD0F13">
        <w:rPr>
          <w:rFonts w:eastAsiaTheme="minorEastAsia"/>
          <w:sz w:val="24"/>
          <w:szCs w:val="24"/>
        </w:rPr>
        <w:t xml:space="preserve"> temu</w:t>
      </w:r>
      <w:r w:rsidR="00BE4238">
        <w:rPr>
          <w:rFonts w:eastAsiaTheme="minorEastAsia"/>
          <w:sz w:val="24"/>
          <w:szCs w:val="24"/>
        </w:rPr>
        <w:t xml:space="preserve">, jak mają </w:t>
      </w:r>
      <w:r w:rsidR="00CD0F13">
        <w:rPr>
          <w:rFonts w:eastAsiaTheme="minorEastAsia"/>
          <w:sz w:val="24"/>
          <w:szCs w:val="24"/>
        </w:rPr>
        <w:t xml:space="preserve">się </w:t>
      </w:r>
      <w:r w:rsidR="00BE4238">
        <w:rPr>
          <w:rFonts w:eastAsiaTheme="minorEastAsia"/>
          <w:sz w:val="24"/>
          <w:szCs w:val="24"/>
        </w:rPr>
        <w:t xml:space="preserve">uzyskane wartości odchyleń standardowych </w:t>
      </w:r>
      <w:r w:rsidR="00A15672">
        <w:rPr>
          <w:rFonts w:eastAsiaTheme="minorEastAsia"/>
          <w:i/>
          <w:sz w:val="24"/>
          <w:szCs w:val="24"/>
        </w:rPr>
        <w:t>a </w:t>
      </w:r>
      <w:r w:rsidR="00BE4238">
        <w:rPr>
          <w:rFonts w:eastAsiaTheme="minorEastAsia"/>
          <w:i/>
          <w:sz w:val="24"/>
          <w:szCs w:val="24"/>
        </w:rPr>
        <w:t>posteriori</w:t>
      </w:r>
      <w:r w:rsidR="00BE4238">
        <w:rPr>
          <w:rFonts w:eastAsiaTheme="minorEastAsia"/>
          <w:sz w:val="24"/>
          <w:szCs w:val="24"/>
        </w:rPr>
        <w:t xml:space="preserve"> do wartości oczekiwanych </w:t>
      </w:r>
      <w:r w:rsidR="00BE4238">
        <w:rPr>
          <w:rFonts w:eastAsiaTheme="minorEastAsia"/>
          <w:i/>
          <w:sz w:val="24"/>
          <w:szCs w:val="24"/>
        </w:rPr>
        <w:t>a posteriori</w:t>
      </w:r>
      <w:r w:rsidR="00BE4238">
        <w:rPr>
          <w:rFonts w:eastAsiaTheme="minorEastAsia"/>
          <w:sz w:val="24"/>
          <w:szCs w:val="24"/>
        </w:rPr>
        <w:t xml:space="preserve">. Weźmy przykładowo następujące wyniki: </w:t>
      </w:r>
      <m:oMath>
        <m:r>
          <w:rPr>
            <w:rFonts w:ascii="Cambria Math" w:eastAsiaTheme="minorEastAsia" w:hAnsi="Cambria Math"/>
            <w:sz w:val="24"/>
            <w:szCs w:val="24"/>
          </w:rPr>
          <m:t>E</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1</m:t>
                </m:r>
              </m:sub>
            </m:sSub>
          </m:e>
          <m:e>
            <m:r>
              <w:rPr>
                <w:rFonts w:ascii="Cambria Math" w:eastAsiaTheme="minorEastAsia" w:hAnsi="Cambria Math"/>
                <w:sz w:val="24"/>
                <w:szCs w:val="24"/>
              </w:rPr>
              <m:t>y</m:t>
            </m:r>
          </m:e>
        </m:d>
        <m:r>
          <w:rPr>
            <w:rFonts w:ascii="Cambria Math" w:eastAsiaTheme="minorEastAsia" w:hAnsi="Cambria Math"/>
            <w:sz w:val="24"/>
            <w:szCs w:val="24"/>
          </w:rPr>
          <m:t>≈-67,02</m:t>
        </m:r>
      </m:oMath>
      <w:r w:rsidR="00BE4238">
        <w:rPr>
          <w:rFonts w:eastAsiaTheme="minorEastAsia"/>
          <w:sz w:val="24"/>
          <w:szCs w:val="24"/>
        </w:rPr>
        <w:t xml:space="preserve"> i </w:t>
      </w:r>
      <m:oMath>
        <m:r>
          <w:rPr>
            <w:rFonts w:ascii="Cambria Math" w:eastAsiaTheme="minorEastAsia" w:hAnsi="Cambria Math"/>
            <w:sz w:val="24"/>
            <w:szCs w:val="24"/>
          </w:rPr>
          <m:t>D</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1</m:t>
                </m:r>
              </m:sub>
            </m:sSub>
          </m:e>
          <m:e>
            <m:r>
              <w:rPr>
                <w:rFonts w:ascii="Cambria Math" w:eastAsiaTheme="minorEastAsia" w:hAnsi="Cambria Math"/>
                <w:sz w:val="24"/>
                <w:szCs w:val="24"/>
              </w:rPr>
              <m:t>y</m:t>
            </m:r>
          </m:e>
        </m:d>
        <m:r>
          <w:rPr>
            <w:rFonts w:ascii="Cambria Math" w:eastAsiaTheme="minorEastAsia" w:hAnsi="Cambria Math"/>
            <w:sz w:val="24"/>
            <w:szCs w:val="24"/>
          </w:rPr>
          <m:t>≈74,9</m:t>
        </m:r>
      </m:oMath>
      <w:r w:rsidR="00BE4238">
        <w:rPr>
          <w:rFonts w:eastAsiaTheme="minorEastAsia"/>
          <w:sz w:val="24"/>
          <w:szCs w:val="24"/>
        </w:rPr>
        <w:t xml:space="preserve"> </w:t>
      </w:r>
      <w:r w:rsidR="00BE4238">
        <w:rPr>
          <w:rFonts w:eastAsiaTheme="minorEastAsia"/>
          <w:i/>
          <w:sz w:val="24"/>
          <w:szCs w:val="24"/>
        </w:rPr>
        <w:t>versus</w:t>
      </w:r>
      <w:r w:rsidR="00BE4238">
        <w:rPr>
          <w:rFonts w:eastAsiaTheme="minorEastAsia"/>
          <w:sz w:val="24"/>
          <w:szCs w:val="24"/>
        </w:rPr>
        <w:t xml:space="preserve"> </w:t>
      </w:r>
      <m:oMath>
        <m:r>
          <w:rPr>
            <w:rFonts w:ascii="Cambria Math" w:eastAsiaTheme="minorEastAsia" w:hAnsi="Cambria Math"/>
            <w:sz w:val="24"/>
            <w:szCs w:val="24"/>
          </w:rPr>
          <m:t>E</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2</m:t>
                </m:r>
              </m:sub>
            </m:sSub>
          </m:e>
          <m:e>
            <m:r>
              <w:rPr>
                <w:rFonts w:ascii="Cambria Math" w:eastAsiaTheme="minorEastAsia" w:hAnsi="Cambria Math"/>
                <w:sz w:val="24"/>
                <w:szCs w:val="24"/>
              </w:rPr>
              <m:t>y</m:t>
            </m:r>
          </m:e>
        </m:d>
        <m:r>
          <w:rPr>
            <w:rFonts w:ascii="Cambria Math" w:eastAsiaTheme="minorEastAsia" w:hAnsi="Cambria Math"/>
            <w:sz w:val="24"/>
            <w:szCs w:val="24"/>
          </w:rPr>
          <m:t>≈6360,98</m:t>
        </m:r>
      </m:oMath>
      <w:r w:rsidR="00BE4238">
        <w:rPr>
          <w:rFonts w:eastAsiaTheme="minorEastAsia"/>
          <w:sz w:val="24"/>
          <w:szCs w:val="24"/>
        </w:rPr>
        <w:t xml:space="preserve"> i </w:t>
      </w:r>
      <m:oMath>
        <m:r>
          <w:rPr>
            <w:rFonts w:ascii="Cambria Math" w:eastAsiaTheme="minorEastAsia" w:hAnsi="Cambria Math"/>
            <w:sz w:val="24"/>
            <w:szCs w:val="24"/>
          </w:rPr>
          <m:t>D</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1</m:t>
                </m:r>
              </m:sub>
            </m:sSub>
          </m:e>
          <m:e>
            <m:r>
              <w:rPr>
                <w:rFonts w:ascii="Cambria Math" w:eastAsiaTheme="minorEastAsia" w:hAnsi="Cambria Math"/>
                <w:sz w:val="24"/>
                <w:szCs w:val="24"/>
              </w:rPr>
              <m:t>y</m:t>
            </m:r>
          </m:e>
        </m:d>
        <m:r>
          <w:rPr>
            <w:rFonts w:ascii="Cambria Math" w:eastAsiaTheme="minorEastAsia" w:hAnsi="Cambria Math"/>
            <w:sz w:val="24"/>
            <w:szCs w:val="24"/>
          </w:rPr>
          <m:t>≈751,5</m:t>
        </m:r>
      </m:oMath>
      <w:r w:rsidR="00A15672">
        <w:rPr>
          <w:rFonts w:eastAsiaTheme="minorEastAsia"/>
          <w:sz w:val="24"/>
          <w:szCs w:val="24"/>
        </w:rPr>
        <w:t xml:space="preserve">. </w:t>
      </w:r>
      <w:r w:rsidR="004D0FED">
        <w:rPr>
          <w:rFonts w:eastAsiaTheme="minorEastAsia"/>
          <w:i/>
          <w:sz w:val="24"/>
          <w:szCs w:val="24"/>
        </w:rPr>
        <w:t>Relatywnie</w:t>
      </w:r>
      <w:r w:rsidR="004D0FED">
        <w:rPr>
          <w:rFonts w:eastAsiaTheme="minorEastAsia"/>
          <w:sz w:val="24"/>
          <w:szCs w:val="24"/>
        </w:rPr>
        <w:t xml:space="preserve"> (w stosunku do wartości oczekiwanej) niepewność </w:t>
      </w:r>
      <w:r w:rsidR="004D0FED">
        <w:rPr>
          <w:rFonts w:eastAsiaTheme="minorEastAsia"/>
          <w:i/>
          <w:sz w:val="24"/>
          <w:szCs w:val="24"/>
        </w:rPr>
        <w:t>a posteriori</w:t>
      </w:r>
      <w:r w:rsidR="004D0FED">
        <w:rPr>
          <w:rFonts w:eastAsiaTheme="minorEastAsia"/>
          <w:sz w:val="24"/>
          <w:szCs w:val="24"/>
        </w:rPr>
        <w:t xml:space="preserve"> parametru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1</m:t>
            </m:r>
          </m:sub>
        </m:sSub>
      </m:oMath>
      <w:r w:rsidR="004D0FED">
        <w:rPr>
          <w:rFonts w:eastAsiaTheme="minorEastAsia"/>
          <w:sz w:val="24"/>
          <w:szCs w:val="24"/>
        </w:rPr>
        <w:t xml:space="preserve"> jest wyższa aniżeli ta dla parametru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2</m:t>
            </m:r>
          </m:sub>
        </m:sSub>
      </m:oMath>
      <w:r w:rsidR="005A0CC1">
        <w:rPr>
          <w:rFonts w:eastAsiaTheme="minorEastAsia"/>
          <w:sz w:val="24"/>
          <w:szCs w:val="24"/>
        </w:rPr>
        <w:t xml:space="preserve">. Ponadto, wyniki dla parametru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1</m:t>
            </m:r>
          </m:sub>
        </m:sSub>
      </m:oMath>
      <w:r w:rsidR="005A0CC1">
        <w:rPr>
          <w:rFonts w:eastAsiaTheme="minorEastAsia"/>
          <w:sz w:val="24"/>
          <w:szCs w:val="24"/>
        </w:rPr>
        <w:t xml:space="preserve"> już sugerują, że gdy zbudujemy przedział HPD dla tego parametru, wówczas będzie on zawierał w sobie 0 (a to oznacza, że parametru nie można uznać za statystycznie istotny – o czym jeszcze w kolejnym punkcie, poniżej). Natomiast, dla parametru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2</m:t>
            </m:r>
          </m:sub>
        </m:sSub>
      </m:oMath>
      <w:r w:rsidR="005A0CC1">
        <w:rPr>
          <w:rFonts w:eastAsiaTheme="minorEastAsia"/>
          <w:sz w:val="24"/>
          <w:szCs w:val="24"/>
        </w:rPr>
        <w:t>, owszem, niepewność jest wyższa (</w:t>
      </w:r>
      <m:oMath>
        <m:r>
          <w:rPr>
            <w:rFonts w:ascii="Cambria Math" w:eastAsiaTheme="minorEastAsia" w:hAnsi="Cambria Math"/>
            <w:sz w:val="24"/>
            <w:szCs w:val="24"/>
          </w:rPr>
          <m:t>D</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1</m:t>
                </m:r>
              </m:sub>
            </m:sSub>
          </m:e>
          <m:e>
            <m:r>
              <w:rPr>
                <w:rFonts w:ascii="Cambria Math" w:eastAsiaTheme="minorEastAsia" w:hAnsi="Cambria Math"/>
                <w:sz w:val="24"/>
                <w:szCs w:val="24"/>
              </w:rPr>
              <m:t>y</m:t>
            </m:r>
          </m:e>
        </m:d>
        <m:r>
          <w:rPr>
            <w:rFonts w:ascii="Cambria Math" w:eastAsiaTheme="minorEastAsia" w:hAnsi="Cambria Math"/>
            <w:sz w:val="24"/>
            <w:szCs w:val="24"/>
          </w:rPr>
          <m:t>≈751,5</m:t>
        </m:r>
      </m:oMath>
      <w:r w:rsidR="005A0CC1">
        <w:rPr>
          <w:rFonts w:eastAsiaTheme="minorEastAsia"/>
          <w:sz w:val="24"/>
          <w:szCs w:val="24"/>
        </w:rPr>
        <w:t xml:space="preserve">), wokół wartości oczekiwanej, która jest znacznie bardziej oddalona od 0, aniżeli ta dla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1</m:t>
            </m:r>
          </m:sub>
        </m:sSub>
      </m:oMath>
      <w:r w:rsidR="005A0CC1">
        <w:rPr>
          <w:rFonts w:eastAsiaTheme="minorEastAsia"/>
          <w:sz w:val="24"/>
          <w:szCs w:val="24"/>
        </w:rPr>
        <w:t xml:space="preserve">, co może nam sugerować, że gdy zbudujemy przedział HPD dla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2</m:t>
            </m:r>
          </m:sub>
        </m:sSub>
      </m:oMath>
      <w:r w:rsidR="005A0CC1">
        <w:rPr>
          <w:rFonts w:eastAsiaTheme="minorEastAsia"/>
          <w:sz w:val="24"/>
          <w:szCs w:val="24"/>
        </w:rPr>
        <w:t xml:space="preserve">, wówczas nie będzie on zawierał w sobie wartości 0, a zatem parametr ten okaże się statystycznie istotny. </w:t>
      </w:r>
    </w:p>
    <w:p w:rsidR="003F6A88" w:rsidRDefault="005A0CC1" w:rsidP="005A0CC1">
      <w:pPr>
        <w:pStyle w:val="Akapitzlist"/>
        <w:spacing w:after="120"/>
        <w:ind w:left="2160"/>
        <w:contextualSpacing w:val="0"/>
        <w:rPr>
          <w:rFonts w:eastAsiaTheme="minorEastAsia"/>
          <w:sz w:val="24"/>
          <w:szCs w:val="24"/>
        </w:rPr>
      </w:pPr>
      <w:r>
        <w:rPr>
          <w:rFonts w:eastAsiaTheme="minorEastAsia"/>
          <w:sz w:val="24"/>
          <w:szCs w:val="24"/>
        </w:rPr>
        <w:t xml:space="preserve">Z powyższej dyskusji wynika, że odchylenia standardowe </w:t>
      </w:r>
      <w:r>
        <w:rPr>
          <w:rFonts w:eastAsiaTheme="minorEastAsia"/>
          <w:i/>
          <w:sz w:val="24"/>
          <w:szCs w:val="24"/>
        </w:rPr>
        <w:t>a posteriori</w:t>
      </w:r>
      <w:r>
        <w:rPr>
          <w:rFonts w:eastAsiaTheme="minorEastAsia"/>
          <w:sz w:val="24"/>
          <w:szCs w:val="24"/>
        </w:rPr>
        <w:t>:</w:t>
      </w:r>
    </w:p>
    <w:p w:rsidR="005A0CC1" w:rsidRDefault="005A0CC1" w:rsidP="005A0CC1">
      <w:pPr>
        <w:pStyle w:val="Akapitzlist"/>
        <w:numPr>
          <w:ilvl w:val="0"/>
          <w:numId w:val="7"/>
        </w:numPr>
        <w:spacing w:after="120"/>
        <w:rPr>
          <w:sz w:val="24"/>
          <w:szCs w:val="24"/>
        </w:rPr>
      </w:pPr>
      <w:r>
        <w:rPr>
          <w:sz w:val="24"/>
          <w:szCs w:val="24"/>
        </w:rPr>
        <w:t xml:space="preserve">na początek porównujemy z tymi przyjętymi w rozkładzie </w:t>
      </w:r>
      <w:r>
        <w:rPr>
          <w:i/>
          <w:sz w:val="24"/>
          <w:szCs w:val="24"/>
        </w:rPr>
        <w:t>a priori</w:t>
      </w:r>
      <w:r w:rsidRPr="005A0CC1">
        <w:rPr>
          <w:sz w:val="24"/>
          <w:szCs w:val="24"/>
        </w:rPr>
        <w:t>, a</w:t>
      </w:r>
      <w:r>
        <w:rPr>
          <w:sz w:val="24"/>
          <w:szCs w:val="24"/>
        </w:rPr>
        <w:t xml:space="preserve"> …</w:t>
      </w:r>
    </w:p>
    <w:p w:rsidR="005A0CC1" w:rsidRPr="005A0CC1" w:rsidRDefault="005A0CC1" w:rsidP="005A0CC1">
      <w:pPr>
        <w:pStyle w:val="Akapitzlist"/>
        <w:numPr>
          <w:ilvl w:val="0"/>
          <w:numId w:val="7"/>
        </w:numPr>
        <w:spacing w:after="120"/>
        <w:rPr>
          <w:sz w:val="24"/>
          <w:szCs w:val="24"/>
        </w:rPr>
      </w:pPr>
      <w:r>
        <w:rPr>
          <w:sz w:val="24"/>
          <w:szCs w:val="24"/>
        </w:rPr>
        <w:t xml:space="preserve">… następnie porównujemy (wzrokowo) z wartościami oczekiwanymi </w:t>
      </w:r>
      <w:r>
        <w:rPr>
          <w:i/>
          <w:sz w:val="24"/>
          <w:szCs w:val="24"/>
        </w:rPr>
        <w:t>a posteriori</w:t>
      </w:r>
      <w:r>
        <w:rPr>
          <w:sz w:val="24"/>
          <w:szCs w:val="24"/>
        </w:rPr>
        <w:t>, by …</w:t>
      </w:r>
    </w:p>
    <w:p w:rsidR="005A0CC1" w:rsidRDefault="005A0CC1" w:rsidP="005A0CC1">
      <w:pPr>
        <w:pStyle w:val="Akapitzlist"/>
        <w:numPr>
          <w:ilvl w:val="0"/>
          <w:numId w:val="7"/>
        </w:numPr>
        <w:spacing w:after="120"/>
        <w:rPr>
          <w:sz w:val="24"/>
          <w:szCs w:val="24"/>
        </w:rPr>
      </w:pPr>
      <w:r>
        <w:rPr>
          <w:sz w:val="24"/>
          <w:szCs w:val="24"/>
        </w:rPr>
        <w:t>… w końcu</w:t>
      </w:r>
      <w:r w:rsidR="00094BF5">
        <w:rPr>
          <w:sz w:val="24"/>
          <w:szCs w:val="24"/>
        </w:rPr>
        <w:t xml:space="preserve"> przejść do analizy przedziałów HPD, bo te </w:t>
      </w:r>
      <w:r w:rsidR="00665031">
        <w:rPr>
          <w:sz w:val="24"/>
          <w:szCs w:val="24"/>
        </w:rPr>
        <w:t xml:space="preserve">najszybciej nas poinformują – uwzględniając w sobie zarówno położenie, jak i rozproszenie rozkładu </w:t>
      </w:r>
      <w:r w:rsidR="00665031">
        <w:rPr>
          <w:i/>
          <w:sz w:val="24"/>
          <w:szCs w:val="24"/>
        </w:rPr>
        <w:t>a posteriori</w:t>
      </w:r>
      <w:r w:rsidR="00665031">
        <w:rPr>
          <w:sz w:val="24"/>
          <w:szCs w:val="24"/>
        </w:rPr>
        <w:t xml:space="preserve"> – o istotności poszczególnych parametrów</w:t>
      </w:r>
    </w:p>
    <w:p w:rsidR="00310EAE" w:rsidRPr="0023544E" w:rsidRDefault="0023544E" w:rsidP="00310EAE">
      <w:pPr>
        <w:pStyle w:val="Akapitzlist"/>
        <w:numPr>
          <w:ilvl w:val="0"/>
          <w:numId w:val="6"/>
        </w:numPr>
        <w:spacing w:after="120"/>
        <w:rPr>
          <w:sz w:val="24"/>
          <w:szCs w:val="24"/>
        </w:rPr>
      </w:pPr>
      <w:r>
        <w:rPr>
          <w:rFonts w:eastAsiaTheme="minorEastAsia"/>
          <w:sz w:val="24"/>
          <w:szCs w:val="24"/>
        </w:rPr>
        <w:t xml:space="preserve">Przedziały najwyższej gęstości </w:t>
      </w:r>
      <w:r>
        <w:rPr>
          <w:rFonts w:eastAsiaTheme="minorEastAsia"/>
          <w:i/>
          <w:sz w:val="24"/>
          <w:szCs w:val="24"/>
        </w:rPr>
        <w:t>a posteriori</w:t>
      </w:r>
      <w:r>
        <w:rPr>
          <w:rFonts w:eastAsiaTheme="minorEastAsia"/>
          <w:sz w:val="24"/>
          <w:szCs w:val="24"/>
        </w:rPr>
        <w:t xml:space="preserve"> (HPD):</w:t>
      </w:r>
    </w:p>
    <w:p w:rsidR="0023544E" w:rsidRPr="0023544E" w:rsidRDefault="0023544E" w:rsidP="0023544E">
      <w:pPr>
        <w:pStyle w:val="Akapitzlist"/>
        <w:numPr>
          <w:ilvl w:val="1"/>
          <w:numId w:val="6"/>
        </w:numPr>
        <w:spacing w:after="120"/>
        <w:rPr>
          <w:sz w:val="24"/>
          <w:szCs w:val="24"/>
        </w:rPr>
      </w:pPr>
      <w:r>
        <w:rPr>
          <w:rFonts w:eastAsiaTheme="minorEastAsia"/>
          <w:sz w:val="24"/>
          <w:szCs w:val="24"/>
        </w:rPr>
        <w:t xml:space="preserve">Pod kątem interpretacji – ta jest szablonowa, weźmy na przykład przedział HPD dla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1</m:t>
            </m:r>
          </m:sub>
        </m:sSub>
      </m:oMath>
      <w:r>
        <w:rPr>
          <w:rFonts w:eastAsiaTheme="minorEastAsia"/>
          <w:sz w:val="24"/>
          <w:szCs w:val="24"/>
        </w:rPr>
        <w:t>:</w:t>
      </w:r>
    </w:p>
    <w:p w:rsidR="0023544E" w:rsidRPr="0023544E" w:rsidRDefault="0023544E" w:rsidP="0023544E">
      <w:pPr>
        <w:pStyle w:val="Akapitzlist"/>
        <w:spacing w:after="120"/>
        <w:ind w:left="2880"/>
        <w:rPr>
          <w:i/>
          <w:sz w:val="24"/>
          <w:szCs w:val="24"/>
        </w:rPr>
      </w:pPr>
      <w:r>
        <w:rPr>
          <w:i/>
          <w:sz w:val="24"/>
          <w:szCs w:val="24"/>
        </w:rPr>
        <w:t>Po wglądzie w dane, z prawdopodobieństwem a posteriori</w:t>
      </w:r>
      <w:r>
        <w:rPr>
          <w:sz w:val="24"/>
          <w:szCs w:val="24"/>
        </w:rPr>
        <w:t xml:space="preserve"> </w:t>
      </w:r>
      <w:r>
        <w:rPr>
          <w:i/>
          <w:sz w:val="24"/>
          <w:szCs w:val="24"/>
        </w:rPr>
        <w:t xml:space="preserve">równym </w:t>
      </w:r>
      <m:oMath>
        <m:r>
          <w:rPr>
            <w:rFonts w:ascii="Cambria Math" w:hAnsi="Cambria Math"/>
            <w:sz w:val="24"/>
            <w:szCs w:val="24"/>
          </w:rPr>
          <m:t>1-α=0,95</m:t>
        </m:r>
      </m:oMath>
      <w:r>
        <w:rPr>
          <w:rFonts w:eastAsiaTheme="minorEastAsia"/>
          <w:i/>
          <w:sz w:val="24"/>
          <w:szCs w:val="24"/>
        </w:rPr>
        <w:t xml:space="preserve"> parametr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1</m:t>
            </m:r>
          </m:sub>
        </m:sSub>
      </m:oMath>
      <w:r>
        <w:rPr>
          <w:rFonts w:eastAsiaTheme="minorEastAsia"/>
          <w:i/>
          <w:sz w:val="24"/>
          <w:szCs w:val="24"/>
        </w:rPr>
        <w:t xml:space="preserve"> mieści się w przedziale </w:t>
      </w:r>
      <m:oMath>
        <m:r>
          <w:rPr>
            <w:rFonts w:ascii="Cambria Math" w:eastAsiaTheme="minorEastAsia" w:hAnsi="Cambria Math"/>
            <w:sz w:val="24"/>
            <w:szCs w:val="24"/>
          </w:rPr>
          <m:t>(-214,31;80,26)</m:t>
        </m:r>
      </m:oMath>
      <w:r w:rsidR="00FB1A7F">
        <w:rPr>
          <w:rFonts w:eastAsiaTheme="minorEastAsia"/>
          <w:i/>
          <w:sz w:val="24"/>
          <w:szCs w:val="24"/>
        </w:rPr>
        <w:t>. Ponadto, przedział ten jest najkrótszy z możliwych.</w:t>
      </w:r>
    </w:p>
    <w:p w:rsidR="0023544E" w:rsidRPr="00310EAE" w:rsidRDefault="00321C18" w:rsidP="0023544E">
      <w:pPr>
        <w:pStyle w:val="Akapitzlist"/>
        <w:numPr>
          <w:ilvl w:val="1"/>
          <w:numId w:val="6"/>
        </w:numPr>
        <w:spacing w:after="120"/>
        <w:rPr>
          <w:sz w:val="24"/>
          <w:szCs w:val="24"/>
        </w:rPr>
      </w:pPr>
      <w:r>
        <w:rPr>
          <w:rFonts w:eastAsiaTheme="minorEastAsia"/>
          <w:sz w:val="24"/>
          <w:szCs w:val="24"/>
        </w:rPr>
        <w:t xml:space="preserve">Pod kątem weryfikacji (testem </w:t>
      </w:r>
      <w:proofErr w:type="spellStart"/>
      <w:r>
        <w:rPr>
          <w:rFonts w:eastAsiaTheme="minorEastAsia"/>
          <w:sz w:val="24"/>
          <w:szCs w:val="24"/>
        </w:rPr>
        <w:t>Lindley’a</w:t>
      </w:r>
      <w:proofErr w:type="spellEnd"/>
      <w:r>
        <w:rPr>
          <w:rFonts w:eastAsiaTheme="minorEastAsia"/>
          <w:sz w:val="24"/>
          <w:szCs w:val="24"/>
        </w:rPr>
        <w:t xml:space="preserve"> – patrz wykład) statystycznej istotności poszczególnych parametrów – tę badamy poprzez proste sprawdzenie, czy wartość 0 „wpada” czy „nie wpada” do przedziału HPD dla danego parametru. Ponieważ przedział HPD obejmuje takie wartości parametru, które są najbardziej „wspierane przez dane” (najbardziej prawdopodobne </w:t>
      </w:r>
      <w:r>
        <w:rPr>
          <w:rFonts w:eastAsiaTheme="minorEastAsia"/>
          <w:i/>
          <w:sz w:val="24"/>
          <w:szCs w:val="24"/>
        </w:rPr>
        <w:t>a posteriori</w:t>
      </w:r>
      <w:r>
        <w:rPr>
          <w:rFonts w:eastAsiaTheme="minorEastAsia"/>
          <w:sz w:val="24"/>
          <w:szCs w:val="24"/>
        </w:rPr>
        <w:t>), wówczas jeśli 0 jest jedną z nich, to podejście bayesowskie nie pozwala odrzucić stwierdzenia (H</w:t>
      </w:r>
      <w:r>
        <w:rPr>
          <w:rFonts w:eastAsiaTheme="minorEastAsia"/>
          <w:sz w:val="24"/>
          <w:szCs w:val="24"/>
          <w:vertAlign w:val="subscript"/>
        </w:rPr>
        <w:t>0</w:t>
      </w:r>
      <w:r>
        <w:rPr>
          <w:rFonts w:eastAsiaTheme="minorEastAsia"/>
          <w:sz w:val="24"/>
          <w:szCs w:val="24"/>
        </w:rPr>
        <w:t xml:space="preserve">), że parametr jest nieistotny (czyli że jest równy 0). W przeciwnym razie, tj. gdy wartość 0 nie mieści się w danym przedziale HPD (a zatem cały przedział jest bądź na lewo, bądź na prawo </w:t>
      </w:r>
      <w:r>
        <w:rPr>
          <w:rFonts w:eastAsiaTheme="minorEastAsia"/>
          <w:sz w:val="24"/>
          <w:szCs w:val="24"/>
        </w:rPr>
        <w:lastRenderedPageBreak/>
        <w:t xml:space="preserve">od 0), to oznacza to, że wszystkie najbardziej wspierane przez dane wartości parametru są bądź ujemne, bądź dodatnie – ale w obydwu przypadkach </w:t>
      </w:r>
      <w:r>
        <w:rPr>
          <w:rFonts w:eastAsiaTheme="minorEastAsia"/>
          <w:i/>
          <w:sz w:val="24"/>
          <w:szCs w:val="24"/>
        </w:rPr>
        <w:t>różne</w:t>
      </w:r>
      <w:r>
        <w:rPr>
          <w:rFonts w:eastAsiaTheme="minorEastAsia"/>
          <w:sz w:val="24"/>
          <w:szCs w:val="24"/>
        </w:rPr>
        <w:t xml:space="preserve"> od 0, co prowadzi do konkluzji, że taki parametr należy uznać za statystycznie istotny (z prawdopodobieństwem </w:t>
      </w:r>
      <w:r>
        <w:rPr>
          <w:rFonts w:eastAsiaTheme="minorEastAsia"/>
          <w:i/>
          <w:sz w:val="24"/>
          <w:szCs w:val="24"/>
        </w:rPr>
        <w:t>a posteriori</w:t>
      </w:r>
      <w:r>
        <w:rPr>
          <w:rFonts w:eastAsiaTheme="minorEastAsia"/>
          <w:sz w:val="24"/>
          <w:szCs w:val="24"/>
        </w:rPr>
        <w:t xml:space="preserve"> równym </w:t>
      </w:r>
      <m:oMath>
        <m:r>
          <w:rPr>
            <w:rFonts w:ascii="Cambria Math" w:eastAsiaTheme="minorEastAsia" w:hAnsi="Cambria Math"/>
            <w:sz w:val="24"/>
            <w:szCs w:val="24"/>
          </w:rPr>
          <m:t>1-α=0,95</m:t>
        </m:r>
      </m:oMath>
      <w:r>
        <w:rPr>
          <w:rFonts w:eastAsiaTheme="minorEastAsia"/>
          <w:sz w:val="24"/>
          <w:szCs w:val="24"/>
        </w:rPr>
        <w:t xml:space="preserve"> – tym, przy którym wyznaczono przedział HPD)</w:t>
      </w:r>
      <w:r w:rsidR="006D5479">
        <w:rPr>
          <w:rFonts w:eastAsiaTheme="minorEastAsia"/>
          <w:sz w:val="24"/>
          <w:szCs w:val="24"/>
        </w:rPr>
        <w:t>.</w:t>
      </w:r>
    </w:p>
    <w:p w:rsidR="006D5479" w:rsidRDefault="006D5479" w:rsidP="006D5479">
      <w:pPr>
        <w:spacing w:after="120"/>
        <w:ind w:left="1416"/>
      </w:pPr>
    </w:p>
    <w:p w:rsidR="006D5479" w:rsidRPr="006D5479" w:rsidRDefault="006D5479" w:rsidP="006D5479">
      <w:pPr>
        <w:spacing w:after="120"/>
        <w:ind w:left="1416"/>
        <w:rPr>
          <w:sz w:val="24"/>
          <w:szCs w:val="24"/>
        </w:rPr>
      </w:pPr>
      <w:r w:rsidRPr="007B77E3">
        <w:sym w:font="Wingdings" w:char="F0E0"/>
      </w:r>
      <w:r w:rsidRPr="006D5479">
        <w:rPr>
          <w:sz w:val="24"/>
          <w:szCs w:val="24"/>
        </w:rPr>
        <w:t xml:space="preserve"> Uwaga: </w:t>
      </w:r>
      <w:r>
        <w:rPr>
          <w:sz w:val="24"/>
          <w:szCs w:val="24"/>
        </w:rPr>
        <w:t xml:space="preserve">Na koniec zauważmy, że całość uwagi powyżej poświęcona została wnioskowaniu tylko o parametrach strukturalnych (czyli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i</m:t>
            </m:r>
          </m:sub>
        </m:sSub>
      </m:oMath>
      <w:r>
        <w:rPr>
          <w:rFonts w:eastAsiaTheme="minorEastAsia"/>
          <w:sz w:val="24"/>
          <w:szCs w:val="24"/>
        </w:rPr>
        <w:t xml:space="preserve">, </w:t>
      </w:r>
      <m:oMath>
        <m:r>
          <w:rPr>
            <w:rFonts w:ascii="Cambria Math" w:eastAsiaTheme="minorEastAsia" w:hAnsi="Cambria Math"/>
            <w:sz w:val="24"/>
            <w:szCs w:val="24"/>
          </w:rPr>
          <m:t>i=0, 1,…, k-1</m:t>
        </m:r>
      </m:oMath>
      <w:r>
        <w:rPr>
          <w:rFonts w:eastAsiaTheme="minorEastAsia"/>
          <w:sz w:val="24"/>
          <w:szCs w:val="24"/>
        </w:rPr>
        <w:t xml:space="preserve">). Tymczasem w modelu obecny jest jeszcze jeden: </w:t>
      </w:r>
      <m:oMath>
        <m:r>
          <w:rPr>
            <w:rFonts w:ascii="Cambria Math" w:eastAsiaTheme="minorEastAsia" w:hAnsi="Cambria Math"/>
            <w:sz w:val="24"/>
            <w:szCs w:val="24"/>
          </w:rPr>
          <m:t>τ</m:t>
        </m:r>
      </m:oMath>
      <w:r>
        <w:rPr>
          <w:rFonts w:eastAsiaTheme="minorEastAsia"/>
          <w:sz w:val="24"/>
          <w:szCs w:val="24"/>
        </w:rPr>
        <w:t xml:space="preserve"> – czyli precyzja składników losowych modelu regresji, która jest parametrem tylko zakłócającym (ang. </w:t>
      </w:r>
      <w:proofErr w:type="spellStart"/>
      <w:r>
        <w:rPr>
          <w:rFonts w:eastAsiaTheme="minorEastAsia"/>
          <w:i/>
          <w:sz w:val="24"/>
          <w:szCs w:val="24"/>
        </w:rPr>
        <w:t>nuisance</w:t>
      </w:r>
      <w:proofErr w:type="spellEnd"/>
      <w:r>
        <w:rPr>
          <w:rFonts w:eastAsiaTheme="minorEastAsia"/>
          <w:i/>
          <w:sz w:val="24"/>
          <w:szCs w:val="24"/>
        </w:rPr>
        <w:t xml:space="preserve"> </w:t>
      </w:r>
      <w:proofErr w:type="spellStart"/>
      <w:r>
        <w:rPr>
          <w:rFonts w:eastAsiaTheme="minorEastAsia"/>
          <w:i/>
          <w:sz w:val="24"/>
          <w:szCs w:val="24"/>
        </w:rPr>
        <w:t>parameter</w:t>
      </w:r>
      <w:proofErr w:type="spellEnd"/>
      <w:r>
        <w:rPr>
          <w:rFonts w:eastAsiaTheme="minorEastAsia"/>
          <w:sz w:val="24"/>
          <w:szCs w:val="24"/>
        </w:rPr>
        <w:t xml:space="preserve">), o drugorzędnym znaczeniu, a tym samym nie stanowiącym „zbyt ważnego” przedmiotu naszego zainteresowania (w odróżnieniu od „bet”). Co prawda można by porównać ze sobą </w:t>
      </w:r>
      <m:oMath>
        <m:r>
          <w:rPr>
            <w:rFonts w:ascii="Cambria Math" w:eastAsiaTheme="minorEastAsia" w:hAnsi="Cambria Math"/>
            <w:sz w:val="24"/>
            <w:szCs w:val="24"/>
          </w:rPr>
          <m:t>E(τ)</m:t>
        </m:r>
      </m:oMath>
      <w:r>
        <w:rPr>
          <w:rFonts w:eastAsiaTheme="minorEastAsia"/>
          <w:sz w:val="24"/>
          <w:szCs w:val="24"/>
        </w:rPr>
        <w:t xml:space="preserve"> i </w:t>
      </w:r>
      <m:oMath>
        <m:r>
          <w:rPr>
            <w:rFonts w:ascii="Cambria Math" w:eastAsiaTheme="minorEastAsia" w:hAnsi="Cambria Math"/>
            <w:sz w:val="24"/>
            <w:szCs w:val="24"/>
          </w:rPr>
          <m:t>E(τ|y)</m:t>
        </m:r>
      </m:oMath>
      <w:r>
        <w:rPr>
          <w:rFonts w:eastAsiaTheme="minorEastAsia"/>
          <w:sz w:val="24"/>
          <w:szCs w:val="24"/>
        </w:rPr>
        <w:t xml:space="preserve"> oraz </w:t>
      </w:r>
      <m:oMath>
        <m:r>
          <w:rPr>
            <w:rFonts w:ascii="Cambria Math" w:eastAsiaTheme="minorEastAsia" w:hAnsi="Cambria Math"/>
            <w:sz w:val="24"/>
            <w:szCs w:val="24"/>
          </w:rPr>
          <m:t>D</m:t>
        </m:r>
        <m:d>
          <m:dPr>
            <m:ctrlPr>
              <w:rPr>
                <w:rFonts w:ascii="Cambria Math" w:eastAsiaTheme="minorEastAsia" w:hAnsi="Cambria Math"/>
                <w:i/>
                <w:sz w:val="24"/>
                <w:szCs w:val="24"/>
              </w:rPr>
            </m:ctrlPr>
          </m:dPr>
          <m:e>
            <m:r>
              <w:rPr>
                <w:rFonts w:ascii="Cambria Math" w:eastAsiaTheme="minorEastAsia" w:hAnsi="Cambria Math"/>
                <w:sz w:val="24"/>
                <w:szCs w:val="24"/>
              </w:rPr>
              <m:t>τ</m:t>
            </m:r>
          </m:e>
        </m:d>
      </m:oMath>
      <w:r>
        <w:rPr>
          <w:rFonts w:eastAsiaTheme="minorEastAsia"/>
          <w:sz w:val="24"/>
          <w:szCs w:val="24"/>
        </w:rPr>
        <w:t xml:space="preserve"> i </w:t>
      </w:r>
      <m:oMath>
        <m:r>
          <w:rPr>
            <w:rFonts w:ascii="Cambria Math" w:eastAsiaTheme="minorEastAsia" w:hAnsi="Cambria Math"/>
            <w:sz w:val="24"/>
            <w:szCs w:val="24"/>
          </w:rPr>
          <m:t>D(τ|y)</m:t>
        </m:r>
      </m:oMath>
      <w:r>
        <w:rPr>
          <w:rFonts w:eastAsiaTheme="minorEastAsia"/>
          <w:sz w:val="24"/>
          <w:szCs w:val="24"/>
        </w:rPr>
        <w:t xml:space="preserve"> (w arkuszu są już obliczone), ale już to tu </w:t>
      </w:r>
      <w:bookmarkStart w:id="0" w:name="_GoBack"/>
      <w:bookmarkEnd w:id="0"/>
      <w:r>
        <w:rPr>
          <w:rFonts w:eastAsiaTheme="minorEastAsia"/>
          <w:sz w:val="24"/>
          <w:szCs w:val="24"/>
        </w:rPr>
        <w:t>sobie darujemy.</w:t>
      </w:r>
    </w:p>
    <w:p w:rsidR="00310EAE" w:rsidRPr="00310EAE" w:rsidRDefault="00310EAE" w:rsidP="00310EAE">
      <w:pPr>
        <w:spacing w:after="120"/>
        <w:ind w:left="1416"/>
        <w:rPr>
          <w:sz w:val="24"/>
          <w:szCs w:val="24"/>
        </w:rPr>
      </w:pPr>
    </w:p>
    <w:sectPr w:rsidR="00310EAE" w:rsidRPr="00310EAE" w:rsidSect="00FE604D">
      <w:headerReference w:type="default" r:id="rId13"/>
      <w:footerReference w:type="default" r:id="rId14"/>
      <w:pgSz w:w="11906" w:h="16838"/>
      <w:pgMar w:top="284" w:right="284" w:bottom="284" w:left="284"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24F" w:rsidRDefault="00CE724F" w:rsidP="00D27A12">
      <w:pPr>
        <w:spacing w:after="0" w:line="240" w:lineRule="auto"/>
      </w:pPr>
      <w:r>
        <w:separator/>
      </w:r>
    </w:p>
  </w:endnote>
  <w:endnote w:type="continuationSeparator" w:id="0">
    <w:p w:rsidR="00CE724F" w:rsidRDefault="00CE724F" w:rsidP="00D27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670864"/>
      <w:docPartObj>
        <w:docPartGallery w:val="Page Numbers (Bottom of Page)"/>
        <w:docPartUnique/>
      </w:docPartObj>
    </w:sdtPr>
    <w:sdtContent>
      <w:p w:rsidR="00094BF5" w:rsidRDefault="00094BF5">
        <w:pPr>
          <w:pStyle w:val="Stopka"/>
          <w:jc w:val="right"/>
        </w:pPr>
        <w:r>
          <w:fldChar w:fldCharType="begin"/>
        </w:r>
        <w:r>
          <w:instrText>PAGE   \* MERGEFORMAT</w:instrText>
        </w:r>
        <w:r>
          <w:fldChar w:fldCharType="separate"/>
        </w:r>
        <w:r w:rsidR="006D5479">
          <w:rPr>
            <w:noProof/>
          </w:rPr>
          <w:t>6</w:t>
        </w:r>
        <w:r>
          <w:fldChar w:fldCharType="end"/>
        </w:r>
      </w:p>
    </w:sdtContent>
  </w:sdt>
  <w:p w:rsidR="00094BF5" w:rsidRDefault="00094B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24F" w:rsidRDefault="00CE724F" w:rsidP="00D27A12">
      <w:pPr>
        <w:spacing w:after="0" w:line="240" w:lineRule="auto"/>
      </w:pPr>
      <w:r>
        <w:separator/>
      </w:r>
    </w:p>
  </w:footnote>
  <w:footnote w:type="continuationSeparator" w:id="0">
    <w:p w:rsidR="00CE724F" w:rsidRDefault="00CE724F" w:rsidP="00D27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BF5" w:rsidRPr="00D27A12" w:rsidRDefault="00094BF5">
    <w:pPr>
      <w:pStyle w:val="Nagwek"/>
      <w:rPr>
        <w:i/>
      </w:rPr>
    </w:pPr>
    <w:r w:rsidRPr="00D27A12">
      <w:rPr>
        <w:i/>
      </w:rPr>
      <w:t>Wnioskowanie bayesowskie w ekonomii empirycznej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D7480"/>
    <w:multiLevelType w:val="hybridMultilevel"/>
    <w:tmpl w:val="CEF2B06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2B293E0">
      <w:start w:val="1"/>
      <w:numFmt w:val="bullet"/>
      <w:lvlText w:val="-"/>
      <w:lvlJc w:val="left"/>
      <w:pPr>
        <w:ind w:left="2880" w:hanging="360"/>
      </w:pPr>
      <w:rPr>
        <w:rFonts w:ascii="Courier New" w:hAnsi="Courier New"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51D1065"/>
    <w:multiLevelType w:val="hybridMultilevel"/>
    <w:tmpl w:val="D5DA9926"/>
    <w:lvl w:ilvl="0" w:tplc="12B293E0">
      <w:start w:val="1"/>
      <w:numFmt w:val="bullet"/>
      <w:lvlText w:val="-"/>
      <w:lvlJc w:val="left"/>
      <w:pPr>
        <w:ind w:left="2520" w:hanging="360"/>
      </w:pPr>
      <w:rPr>
        <w:rFonts w:ascii="Courier New" w:hAnsi="Courier New" w:hint="default"/>
      </w:rPr>
    </w:lvl>
    <w:lvl w:ilvl="1" w:tplc="04150003">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
    <w:nsid w:val="32691577"/>
    <w:multiLevelType w:val="hybridMultilevel"/>
    <w:tmpl w:val="8AF4569C"/>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
    <w:nsid w:val="33520217"/>
    <w:multiLevelType w:val="hybridMultilevel"/>
    <w:tmpl w:val="BA7CB2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4BCF7EF4"/>
    <w:multiLevelType w:val="hybridMultilevel"/>
    <w:tmpl w:val="46D2651C"/>
    <w:lvl w:ilvl="0" w:tplc="04150001">
      <w:start w:val="1"/>
      <w:numFmt w:val="bullet"/>
      <w:lvlText w:val=""/>
      <w:lvlJc w:val="left"/>
      <w:pPr>
        <w:ind w:left="1483" w:hanging="360"/>
      </w:pPr>
      <w:rPr>
        <w:rFonts w:ascii="Symbol" w:hAnsi="Symbol" w:hint="default"/>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5">
    <w:nsid w:val="51875C61"/>
    <w:multiLevelType w:val="hybridMultilevel"/>
    <w:tmpl w:val="168C57FA"/>
    <w:lvl w:ilvl="0" w:tplc="101E9CF6">
      <w:start w:val="1"/>
      <w:numFmt w:val="upperLetter"/>
      <w:lvlText w:val="%1)"/>
      <w:lvlJc w:val="left"/>
      <w:pPr>
        <w:ind w:left="1068" w:hanging="360"/>
      </w:pPr>
      <w:rPr>
        <w:rFonts w:eastAsiaTheme="minorEastAsia" w:hint="default"/>
      </w:rPr>
    </w:lvl>
    <w:lvl w:ilvl="1" w:tplc="04150001">
      <w:start w:val="1"/>
      <w:numFmt w:val="bullet"/>
      <w:lvlText w:val=""/>
      <w:lvlJc w:val="left"/>
      <w:pPr>
        <w:ind w:left="1788" w:hanging="360"/>
      </w:pPr>
      <w:rPr>
        <w:rFonts w:ascii="Symbol" w:hAnsi="Symbol" w:hint="default"/>
      </w:rPr>
    </w:lvl>
    <w:lvl w:ilvl="2" w:tplc="9620E972">
      <w:start w:val="1"/>
      <w:numFmt w:val="lowerRoman"/>
      <w:lvlText w:val="%3)"/>
      <w:lvlJc w:val="left"/>
      <w:pPr>
        <w:ind w:left="3048" w:hanging="720"/>
      </w:pPr>
      <w:rPr>
        <w:rFonts w:eastAsiaTheme="minorEastAsia"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5DCF0924"/>
    <w:multiLevelType w:val="hybridMultilevel"/>
    <w:tmpl w:val="93DA77F4"/>
    <w:lvl w:ilvl="0" w:tplc="0D6A0374">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A12"/>
    <w:rsid w:val="000164B4"/>
    <w:rsid w:val="00017557"/>
    <w:rsid w:val="000502FC"/>
    <w:rsid w:val="00094BF5"/>
    <w:rsid w:val="000C00CE"/>
    <w:rsid w:val="001041FA"/>
    <w:rsid w:val="00110E37"/>
    <w:rsid w:val="00132552"/>
    <w:rsid w:val="0014641B"/>
    <w:rsid w:val="00181457"/>
    <w:rsid w:val="0018333F"/>
    <w:rsid w:val="001876CE"/>
    <w:rsid w:val="001A328E"/>
    <w:rsid w:val="001A41A4"/>
    <w:rsid w:val="001F3644"/>
    <w:rsid w:val="00207E37"/>
    <w:rsid w:val="00217F22"/>
    <w:rsid w:val="002274DD"/>
    <w:rsid w:val="0023544E"/>
    <w:rsid w:val="00244A33"/>
    <w:rsid w:val="00251AE1"/>
    <w:rsid w:val="00252555"/>
    <w:rsid w:val="002545E9"/>
    <w:rsid w:val="00265EB9"/>
    <w:rsid w:val="002743FA"/>
    <w:rsid w:val="00283DF9"/>
    <w:rsid w:val="00292621"/>
    <w:rsid w:val="002A7BED"/>
    <w:rsid w:val="002C6BD7"/>
    <w:rsid w:val="002D57BD"/>
    <w:rsid w:val="002E63D9"/>
    <w:rsid w:val="002E6BDC"/>
    <w:rsid w:val="003038EC"/>
    <w:rsid w:val="00310EAE"/>
    <w:rsid w:val="00321C18"/>
    <w:rsid w:val="0033249F"/>
    <w:rsid w:val="003332DA"/>
    <w:rsid w:val="00373F28"/>
    <w:rsid w:val="003B4CAC"/>
    <w:rsid w:val="003C19C8"/>
    <w:rsid w:val="003D3335"/>
    <w:rsid w:val="003D4A8D"/>
    <w:rsid w:val="003E0775"/>
    <w:rsid w:val="003F6A88"/>
    <w:rsid w:val="004051C6"/>
    <w:rsid w:val="00452D7C"/>
    <w:rsid w:val="00481071"/>
    <w:rsid w:val="004B2CB2"/>
    <w:rsid w:val="004C1909"/>
    <w:rsid w:val="004C64DC"/>
    <w:rsid w:val="004D0FED"/>
    <w:rsid w:val="004F1130"/>
    <w:rsid w:val="004F1CE5"/>
    <w:rsid w:val="004F4E55"/>
    <w:rsid w:val="00511927"/>
    <w:rsid w:val="005311B6"/>
    <w:rsid w:val="005502F1"/>
    <w:rsid w:val="00565790"/>
    <w:rsid w:val="00590E32"/>
    <w:rsid w:val="00592491"/>
    <w:rsid w:val="005A0CC1"/>
    <w:rsid w:val="005A7920"/>
    <w:rsid w:val="005B318D"/>
    <w:rsid w:val="005D710C"/>
    <w:rsid w:val="005E6738"/>
    <w:rsid w:val="005F6A3E"/>
    <w:rsid w:val="00600EB2"/>
    <w:rsid w:val="0060442E"/>
    <w:rsid w:val="0061732D"/>
    <w:rsid w:val="0062185F"/>
    <w:rsid w:val="00633526"/>
    <w:rsid w:val="0065067E"/>
    <w:rsid w:val="00654628"/>
    <w:rsid w:val="00665031"/>
    <w:rsid w:val="006A11E8"/>
    <w:rsid w:val="006D5479"/>
    <w:rsid w:val="0070520E"/>
    <w:rsid w:val="00721260"/>
    <w:rsid w:val="00727B4C"/>
    <w:rsid w:val="00736B63"/>
    <w:rsid w:val="00761C5F"/>
    <w:rsid w:val="00771CF6"/>
    <w:rsid w:val="00795846"/>
    <w:rsid w:val="007B74DD"/>
    <w:rsid w:val="007B77E3"/>
    <w:rsid w:val="008078F3"/>
    <w:rsid w:val="00812B8E"/>
    <w:rsid w:val="00826A8D"/>
    <w:rsid w:val="008341D1"/>
    <w:rsid w:val="00844014"/>
    <w:rsid w:val="00850CCE"/>
    <w:rsid w:val="00856F0E"/>
    <w:rsid w:val="00867AEC"/>
    <w:rsid w:val="00871711"/>
    <w:rsid w:val="0088096B"/>
    <w:rsid w:val="008A44F2"/>
    <w:rsid w:val="008F48D5"/>
    <w:rsid w:val="008F53AF"/>
    <w:rsid w:val="00901DC3"/>
    <w:rsid w:val="00927CB2"/>
    <w:rsid w:val="00930EA2"/>
    <w:rsid w:val="00946D61"/>
    <w:rsid w:val="00952BEC"/>
    <w:rsid w:val="00971E55"/>
    <w:rsid w:val="009B0DE1"/>
    <w:rsid w:val="009C41E5"/>
    <w:rsid w:val="009C775D"/>
    <w:rsid w:val="009D5826"/>
    <w:rsid w:val="009D6A2C"/>
    <w:rsid w:val="009E096C"/>
    <w:rsid w:val="009F3BCF"/>
    <w:rsid w:val="009F66EF"/>
    <w:rsid w:val="00A02118"/>
    <w:rsid w:val="00A042C9"/>
    <w:rsid w:val="00A15672"/>
    <w:rsid w:val="00A34E53"/>
    <w:rsid w:val="00AA6821"/>
    <w:rsid w:val="00B328EB"/>
    <w:rsid w:val="00B56DD3"/>
    <w:rsid w:val="00B57DDF"/>
    <w:rsid w:val="00BB7783"/>
    <w:rsid w:val="00BC7686"/>
    <w:rsid w:val="00BE4238"/>
    <w:rsid w:val="00C73CFB"/>
    <w:rsid w:val="00C85310"/>
    <w:rsid w:val="00C91EE9"/>
    <w:rsid w:val="00CB2366"/>
    <w:rsid w:val="00CB457E"/>
    <w:rsid w:val="00CC1D95"/>
    <w:rsid w:val="00CD0654"/>
    <w:rsid w:val="00CD0F13"/>
    <w:rsid w:val="00CD7641"/>
    <w:rsid w:val="00CE1687"/>
    <w:rsid w:val="00CE724F"/>
    <w:rsid w:val="00D06752"/>
    <w:rsid w:val="00D14781"/>
    <w:rsid w:val="00D22B35"/>
    <w:rsid w:val="00D27A12"/>
    <w:rsid w:val="00D36F12"/>
    <w:rsid w:val="00D44D5F"/>
    <w:rsid w:val="00D66064"/>
    <w:rsid w:val="00D67C9F"/>
    <w:rsid w:val="00DD25D5"/>
    <w:rsid w:val="00DD780E"/>
    <w:rsid w:val="00DE42C6"/>
    <w:rsid w:val="00E04485"/>
    <w:rsid w:val="00E15313"/>
    <w:rsid w:val="00E2202F"/>
    <w:rsid w:val="00E27526"/>
    <w:rsid w:val="00E34FD5"/>
    <w:rsid w:val="00E660FF"/>
    <w:rsid w:val="00E96904"/>
    <w:rsid w:val="00EB632E"/>
    <w:rsid w:val="00EE6BEB"/>
    <w:rsid w:val="00EF4FC2"/>
    <w:rsid w:val="00F26708"/>
    <w:rsid w:val="00F76C88"/>
    <w:rsid w:val="00F9366C"/>
    <w:rsid w:val="00FB0087"/>
    <w:rsid w:val="00FB1A7F"/>
    <w:rsid w:val="00FB3B62"/>
    <w:rsid w:val="00FD6DE4"/>
    <w:rsid w:val="00FE60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27A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7A12"/>
  </w:style>
  <w:style w:type="paragraph" w:styleId="Stopka">
    <w:name w:val="footer"/>
    <w:basedOn w:val="Normalny"/>
    <w:link w:val="StopkaZnak"/>
    <w:uiPriority w:val="99"/>
    <w:unhideWhenUsed/>
    <w:rsid w:val="00D27A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7A12"/>
  </w:style>
  <w:style w:type="paragraph" w:styleId="Akapitzlist">
    <w:name w:val="List Paragraph"/>
    <w:basedOn w:val="Normalny"/>
    <w:uiPriority w:val="34"/>
    <w:qFormat/>
    <w:rsid w:val="00017557"/>
    <w:pPr>
      <w:ind w:left="720"/>
      <w:contextualSpacing/>
    </w:pPr>
  </w:style>
  <w:style w:type="character" w:styleId="Tekstzastpczy">
    <w:name w:val="Placeholder Text"/>
    <w:basedOn w:val="Domylnaczcionkaakapitu"/>
    <w:uiPriority w:val="99"/>
    <w:semiHidden/>
    <w:rsid w:val="00017557"/>
    <w:rPr>
      <w:color w:val="808080"/>
    </w:rPr>
  </w:style>
  <w:style w:type="paragraph" w:styleId="Tekstdymka">
    <w:name w:val="Balloon Text"/>
    <w:basedOn w:val="Normalny"/>
    <w:link w:val="TekstdymkaZnak"/>
    <w:uiPriority w:val="99"/>
    <w:semiHidden/>
    <w:unhideWhenUsed/>
    <w:rsid w:val="000175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75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27A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7A12"/>
  </w:style>
  <w:style w:type="paragraph" w:styleId="Stopka">
    <w:name w:val="footer"/>
    <w:basedOn w:val="Normalny"/>
    <w:link w:val="StopkaZnak"/>
    <w:uiPriority w:val="99"/>
    <w:unhideWhenUsed/>
    <w:rsid w:val="00D27A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7A12"/>
  </w:style>
  <w:style w:type="paragraph" w:styleId="Akapitzlist">
    <w:name w:val="List Paragraph"/>
    <w:basedOn w:val="Normalny"/>
    <w:uiPriority w:val="34"/>
    <w:qFormat/>
    <w:rsid w:val="00017557"/>
    <w:pPr>
      <w:ind w:left="720"/>
      <w:contextualSpacing/>
    </w:pPr>
  </w:style>
  <w:style w:type="character" w:styleId="Tekstzastpczy">
    <w:name w:val="Placeholder Text"/>
    <w:basedOn w:val="Domylnaczcionkaakapitu"/>
    <w:uiPriority w:val="99"/>
    <w:semiHidden/>
    <w:rsid w:val="00017557"/>
    <w:rPr>
      <w:color w:val="808080"/>
    </w:rPr>
  </w:style>
  <w:style w:type="paragraph" w:styleId="Tekstdymka">
    <w:name w:val="Balloon Text"/>
    <w:basedOn w:val="Normalny"/>
    <w:link w:val="TekstdymkaZnak"/>
    <w:uiPriority w:val="99"/>
    <w:semiHidden/>
    <w:unhideWhenUsed/>
    <w:rsid w:val="000175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7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71"/>
    <w:rsid w:val="00C40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40A7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40A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4AAFE-2F19-43D8-A9EF-AAB6EF07C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6</Pages>
  <Words>2055</Words>
  <Characters>12333</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Kwiatkowski</dc:creator>
  <cp:lastModifiedBy>L</cp:lastModifiedBy>
  <cp:revision>101</cp:revision>
  <dcterms:created xsi:type="dcterms:W3CDTF">2021-01-07T13:48:00Z</dcterms:created>
  <dcterms:modified xsi:type="dcterms:W3CDTF">2024-02-07T23:09:00Z</dcterms:modified>
</cp:coreProperties>
</file>