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61538" w14:textId="77777777" w:rsidR="00EC63B0" w:rsidRDefault="00EC63B0" w:rsidP="00D202B8"/>
    <w:p w14:paraId="4F97ACFE" w14:textId="77777777" w:rsidR="00605D43" w:rsidRPr="000B1037" w:rsidRDefault="00605D43" w:rsidP="00D202B8">
      <w:pPr>
        <w:rPr>
          <w:lang w:val="pl-PL"/>
        </w:rPr>
      </w:pPr>
    </w:p>
    <w:p w14:paraId="1EAC5CBF" w14:textId="556EC395" w:rsidR="0058344F" w:rsidRDefault="00AB6135" w:rsidP="0058344F">
      <w:pPr>
        <w:jc w:val="center"/>
        <w:rPr>
          <w:rFonts w:asciiTheme="minorHAnsi" w:hAnsiTheme="minorHAnsi" w:cstheme="minorHAnsi"/>
          <w:sz w:val="56"/>
          <w:szCs w:val="96"/>
          <w:lang w:val="pl-PL"/>
        </w:rPr>
      </w:pPr>
      <w:r w:rsidRPr="00E673A9">
        <w:rPr>
          <w:rFonts w:asciiTheme="minorHAnsi" w:hAnsiTheme="minorHAnsi" w:cstheme="minorHAnsi"/>
          <w:sz w:val="56"/>
          <w:szCs w:val="96"/>
          <w:lang w:val="pl-PL"/>
        </w:rPr>
        <w:t xml:space="preserve">Analiza Case </w:t>
      </w:r>
      <w:proofErr w:type="spellStart"/>
      <w:r w:rsidRPr="00E673A9">
        <w:rPr>
          <w:rFonts w:asciiTheme="minorHAnsi" w:hAnsiTheme="minorHAnsi" w:cstheme="minorHAnsi"/>
          <w:sz w:val="56"/>
          <w:szCs w:val="96"/>
          <w:lang w:val="pl-PL"/>
        </w:rPr>
        <w:t>Study</w:t>
      </w:r>
      <w:proofErr w:type="spellEnd"/>
    </w:p>
    <w:p w14:paraId="0A05D18F" w14:textId="3DDE92A3" w:rsidR="00AB6135" w:rsidRPr="0058344F" w:rsidRDefault="0058344F" w:rsidP="0058344F">
      <w:pPr>
        <w:jc w:val="center"/>
        <w:rPr>
          <w:rFonts w:asciiTheme="minorHAnsi" w:hAnsiTheme="minorHAnsi" w:cstheme="minorHAnsi"/>
          <w:sz w:val="52"/>
          <w:szCs w:val="72"/>
          <w:lang w:val="pl-PL"/>
        </w:rPr>
      </w:pPr>
      <w:r w:rsidRPr="0058344F">
        <w:rPr>
          <w:rFonts w:asciiTheme="minorHAnsi" w:hAnsiTheme="minorHAnsi" w:cstheme="minorHAnsi"/>
          <w:sz w:val="52"/>
          <w:szCs w:val="72"/>
          <w:lang w:val="pl-PL"/>
        </w:rPr>
        <w:t>–</w:t>
      </w:r>
      <w:r w:rsidR="00AB6135" w:rsidRPr="0058344F">
        <w:rPr>
          <w:rFonts w:asciiTheme="minorHAnsi" w:hAnsiTheme="minorHAnsi" w:cstheme="minorHAnsi"/>
          <w:sz w:val="52"/>
          <w:szCs w:val="72"/>
          <w:lang w:val="pl-PL"/>
        </w:rPr>
        <w:t xml:space="preserve"> jak dochodzić swoich praw przy umowie sprzedaży</w:t>
      </w:r>
    </w:p>
    <w:p w14:paraId="59BCBCEB" w14:textId="77777777" w:rsidR="00605D43" w:rsidRPr="000B1037" w:rsidRDefault="00605D43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38A86993" w14:textId="77777777" w:rsidR="00605D43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Załącznik do scenariusza lekcji – ćwiczenia dla uczniów</w:t>
      </w:r>
    </w:p>
    <w:p w14:paraId="2FE6FCF4" w14:textId="77777777" w:rsidR="000B1037" w:rsidRPr="000B1037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4B82DA3B" w14:textId="77777777" w:rsidR="00605D43" w:rsidRPr="000B1037" w:rsidRDefault="00605D43" w:rsidP="00D202B8">
      <w:pPr>
        <w:rPr>
          <w:lang w:val="pl-PL"/>
        </w:rPr>
      </w:pPr>
    </w:p>
    <w:p w14:paraId="75FAEF1C" w14:textId="6664695B" w:rsidR="00EC63B0" w:rsidRPr="000B1037" w:rsidRDefault="00605D43" w:rsidP="00605D43">
      <w:pPr>
        <w:jc w:val="both"/>
        <w:rPr>
          <w:rFonts w:asciiTheme="minorHAnsi" w:hAnsiTheme="minorHAnsi" w:cstheme="minorHAnsi"/>
          <w:b/>
          <w:sz w:val="32"/>
          <w:szCs w:val="32"/>
          <w:lang w:val="pl-PL"/>
        </w:rPr>
      </w:pPr>
      <w:r w:rsidRPr="000B1037">
        <w:rPr>
          <w:rFonts w:asciiTheme="minorHAnsi" w:hAnsiTheme="minorHAnsi" w:cstheme="minorHAnsi"/>
          <w:b/>
          <w:sz w:val="32"/>
          <w:szCs w:val="32"/>
          <w:lang w:val="pl-PL"/>
        </w:rPr>
        <w:t xml:space="preserve">ĆWICZENIE </w:t>
      </w:r>
      <w:r w:rsidR="00D64B8D">
        <w:rPr>
          <w:rFonts w:asciiTheme="minorHAnsi" w:hAnsiTheme="minorHAnsi" w:cstheme="minorHAnsi"/>
          <w:b/>
          <w:sz w:val="32"/>
          <w:szCs w:val="32"/>
          <w:lang w:val="pl-PL"/>
        </w:rPr>
        <w:t>2 – grupa I</w:t>
      </w:r>
      <w:r w:rsidR="002144FB">
        <w:rPr>
          <w:rFonts w:asciiTheme="minorHAnsi" w:hAnsiTheme="minorHAnsi" w:cstheme="minorHAnsi"/>
          <w:b/>
          <w:sz w:val="32"/>
          <w:szCs w:val="32"/>
          <w:lang w:val="pl-PL"/>
        </w:rPr>
        <w:t>II</w:t>
      </w:r>
    </w:p>
    <w:p w14:paraId="169DF127" w14:textId="77777777" w:rsidR="00605D43" w:rsidRDefault="00605D43" w:rsidP="00605D43">
      <w:pPr>
        <w:jc w:val="both"/>
        <w:rPr>
          <w:rFonts w:asciiTheme="minorHAnsi" w:hAnsiTheme="minorHAnsi" w:cstheme="minorHAnsi"/>
          <w:color w:val="FF0000"/>
          <w:sz w:val="28"/>
          <w:szCs w:val="28"/>
          <w:lang w:val="pl-PL"/>
        </w:rPr>
      </w:pPr>
    </w:p>
    <w:p w14:paraId="753436E1" w14:textId="510885BD" w:rsidR="00487DEA" w:rsidRPr="0058344F" w:rsidRDefault="002144FB" w:rsidP="0058344F">
      <w:pPr>
        <w:pStyle w:val="Akapitzlist"/>
        <w:ind w:left="0"/>
        <w:jc w:val="both"/>
        <w:rPr>
          <w:rFonts w:cstheme="minorHAnsi"/>
          <w:sz w:val="28"/>
          <w:szCs w:val="28"/>
        </w:rPr>
      </w:pPr>
      <w:r w:rsidRPr="0058344F">
        <w:rPr>
          <w:rFonts w:cstheme="minorHAnsi"/>
          <w:sz w:val="28"/>
          <w:szCs w:val="28"/>
        </w:rPr>
        <w:t>Marek Kowalski uwielbiał jeździć na rowerze. W styczniu ceny rowerów były najniższe w związku z powyższym zaraz po świętach w dniu 28 grudnia 2023 roku poszedł do pobliskiego sklepu rowerowego XYZ sp. z o.o. i sugerując się poleceniami sprzedawcy kupił zachwalany przez niego model</w:t>
      </w:r>
      <w:r w:rsidR="00BD3D6A" w:rsidRPr="0058344F">
        <w:rPr>
          <w:rFonts w:cstheme="minorHAnsi"/>
          <w:sz w:val="28"/>
          <w:szCs w:val="28"/>
        </w:rPr>
        <w:t xml:space="preserve"> marki Góral Model G23</w:t>
      </w:r>
      <w:r w:rsidRPr="0058344F">
        <w:rPr>
          <w:rFonts w:cstheme="minorHAnsi"/>
          <w:sz w:val="28"/>
          <w:szCs w:val="28"/>
        </w:rPr>
        <w:t>, do jazdy w górach za kwotę 1000 zł.</w:t>
      </w:r>
      <w:r w:rsidR="00BD3D6A" w:rsidRPr="0058344F">
        <w:rPr>
          <w:rFonts w:cstheme="minorHAnsi"/>
          <w:sz w:val="28"/>
          <w:szCs w:val="28"/>
        </w:rPr>
        <w:t xml:space="preserve"> Zakup został potwierdzony paragonem fakturą imienną nr 28/12/2023.</w:t>
      </w:r>
    </w:p>
    <w:p w14:paraId="0BC1A1BC" w14:textId="77777777" w:rsidR="0058344F" w:rsidRPr="0058344F" w:rsidRDefault="0058344F" w:rsidP="0058344F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0D876EFE" w14:textId="113C0622" w:rsidR="002144FB" w:rsidRPr="0058344F" w:rsidRDefault="002144FB" w:rsidP="0058344F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  <w:r w:rsidRPr="0058344F">
        <w:rPr>
          <w:rFonts w:cstheme="minorHAnsi"/>
          <w:sz w:val="28"/>
          <w:szCs w:val="28"/>
        </w:rPr>
        <w:t>Miesiąc po dokonaniu zakupu Marek złamał nogę i w góry pojechał dopiero</w:t>
      </w:r>
      <w:r w:rsidR="00BD3D6A" w:rsidRPr="0058344F">
        <w:rPr>
          <w:rFonts w:cstheme="minorHAnsi"/>
          <w:sz w:val="28"/>
          <w:szCs w:val="28"/>
        </w:rPr>
        <w:t xml:space="preserve"> 2</w:t>
      </w:r>
      <w:r w:rsidR="0058344F">
        <w:rPr>
          <w:rFonts w:cstheme="minorHAnsi"/>
          <w:sz w:val="28"/>
          <w:szCs w:val="28"/>
        </w:rPr>
        <w:t> </w:t>
      </w:r>
      <w:r w:rsidRPr="0058344F">
        <w:rPr>
          <w:rFonts w:cstheme="minorHAnsi"/>
          <w:sz w:val="28"/>
          <w:szCs w:val="28"/>
        </w:rPr>
        <w:t>sierpni</w:t>
      </w:r>
      <w:r w:rsidR="00BD3D6A" w:rsidRPr="0058344F">
        <w:rPr>
          <w:rFonts w:cstheme="minorHAnsi"/>
          <w:sz w:val="28"/>
          <w:szCs w:val="28"/>
        </w:rPr>
        <w:t>a</w:t>
      </w:r>
      <w:r w:rsidRPr="0058344F">
        <w:rPr>
          <w:rFonts w:cstheme="minorHAnsi"/>
          <w:sz w:val="28"/>
          <w:szCs w:val="28"/>
        </w:rPr>
        <w:t xml:space="preserve"> 2024 roku. W trakcie jazdy okazało się, że Marek ma problemy ze zmianą przerzutek, za każdym razem z roweru spadał łańcuch. W takich warunkach jazda rowerem po górach była niemożliwa. Po powrocie z wyjazdu, Marek udał się do znajomego serwisu rowerowego, gdzie dowidział się, że z</w:t>
      </w:r>
      <w:r w:rsidR="00BD3D6A" w:rsidRPr="0058344F">
        <w:rPr>
          <w:rFonts w:cstheme="minorHAnsi"/>
          <w:sz w:val="28"/>
          <w:szCs w:val="28"/>
        </w:rPr>
        <w:t>najdujący się</w:t>
      </w:r>
      <w:r w:rsidRPr="0058344F">
        <w:rPr>
          <w:rFonts w:cstheme="minorHAnsi"/>
          <w:sz w:val="28"/>
          <w:szCs w:val="28"/>
        </w:rPr>
        <w:t xml:space="preserve"> w rowerze mechanizm zmiany przerzutek został źle zamontowany, stąd problemy ze spadaniem łańcucha. Zdaniem serwisanta konieczna jest wymiana całego mechanizmu, której koszt wyniesie ok. 300 zł.</w:t>
      </w:r>
      <w:r w:rsidR="00BD3D6A" w:rsidRPr="0058344F">
        <w:rPr>
          <w:rFonts w:cstheme="minorHAnsi"/>
          <w:sz w:val="28"/>
          <w:szCs w:val="28"/>
        </w:rPr>
        <w:t xml:space="preserve"> Marek mailowo poinformował sklep, iż rower ma wadę przerzutek i powiedział, że chciałby, aby wada ta została naprawiona. Jednakże przedstawiciel sklepu odpowiedział markowi w dniu 6 sierpnia 2024 roku, że sklep nie prowadzi napraw sprzętu. </w:t>
      </w:r>
    </w:p>
    <w:p w14:paraId="6E80AA0A" w14:textId="77777777" w:rsidR="0058344F" w:rsidRPr="0058344F" w:rsidRDefault="0058344F" w:rsidP="0058344F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</w:p>
    <w:p w14:paraId="7F0871E1" w14:textId="395434F7" w:rsidR="00BD3D6A" w:rsidRPr="0058344F" w:rsidRDefault="00BD3D6A" w:rsidP="0058344F">
      <w:pPr>
        <w:pStyle w:val="Akapitzlist"/>
        <w:spacing w:after="0"/>
        <w:ind w:left="0"/>
        <w:jc w:val="both"/>
        <w:rPr>
          <w:rFonts w:cstheme="minorHAnsi"/>
          <w:sz w:val="28"/>
          <w:szCs w:val="28"/>
        </w:rPr>
      </w:pPr>
      <w:r w:rsidRPr="0058344F">
        <w:rPr>
          <w:rFonts w:cstheme="minorHAnsi"/>
          <w:sz w:val="28"/>
          <w:szCs w:val="28"/>
        </w:rPr>
        <w:t>W związku z powyższym Marek postanowił, że naprawi rower we własnym zakresie, ale chciałby, żeby cena roweru została obniżona o koszty naprawy.</w:t>
      </w:r>
    </w:p>
    <w:p w14:paraId="16765FD1" w14:textId="77777777" w:rsidR="002144FB" w:rsidRPr="0058344F" w:rsidRDefault="002144FB" w:rsidP="002144FB">
      <w:pPr>
        <w:pStyle w:val="Akapitzlist"/>
        <w:ind w:left="0" w:firstLine="709"/>
        <w:jc w:val="both"/>
        <w:rPr>
          <w:rFonts w:cstheme="minorHAnsi"/>
          <w:sz w:val="28"/>
          <w:szCs w:val="28"/>
        </w:rPr>
      </w:pPr>
    </w:p>
    <w:p w14:paraId="0ABD7A59" w14:textId="627EE641" w:rsidR="00BD3D6A" w:rsidRPr="0058344F" w:rsidRDefault="00BD3D6A" w:rsidP="0058344F">
      <w:pPr>
        <w:pStyle w:val="Akapitzlist"/>
        <w:ind w:left="0"/>
        <w:jc w:val="both"/>
        <w:rPr>
          <w:rFonts w:cstheme="minorHAnsi"/>
          <w:sz w:val="28"/>
          <w:szCs w:val="28"/>
        </w:rPr>
      </w:pPr>
      <w:r w:rsidRPr="0058344F">
        <w:rPr>
          <w:rFonts w:cstheme="minorHAnsi"/>
          <w:sz w:val="28"/>
          <w:szCs w:val="28"/>
        </w:rPr>
        <w:lastRenderedPageBreak/>
        <w:t>Proszę o przygotowanie oświadczenie w imieniu Marka, w którym poinformuje on sklep o</w:t>
      </w:r>
      <w:r w:rsidR="0058344F" w:rsidRPr="0058344F">
        <w:rPr>
          <w:rFonts w:cstheme="minorHAnsi"/>
          <w:sz w:val="28"/>
          <w:szCs w:val="28"/>
        </w:rPr>
        <w:t> </w:t>
      </w:r>
      <w:r w:rsidRPr="0058344F">
        <w:rPr>
          <w:rFonts w:cstheme="minorHAnsi"/>
          <w:sz w:val="28"/>
          <w:szCs w:val="28"/>
        </w:rPr>
        <w:t>wykryciu wady oraz złoży odpowiednie oświadczenie.</w:t>
      </w:r>
    </w:p>
    <w:p w14:paraId="18D51550" w14:textId="77777777" w:rsidR="00BD3D6A" w:rsidRPr="0058344F" w:rsidRDefault="00BD3D6A" w:rsidP="00BD3D6A">
      <w:pPr>
        <w:jc w:val="both"/>
        <w:rPr>
          <w:rFonts w:cstheme="minorHAnsi"/>
          <w:sz w:val="28"/>
          <w:szCs w:val="28"/>
          <w:lang w:val="pl-PL"/>
        </w:rPr>
      </w:pPr>
    </w:p>
    <w:p w14:paraId="05684CAF" w14:textId="44679138" w:rsidR="000648E7" w:rsidRPr="0058344F" w:rsidRDefault="002144FB" w:rsidP="0058344F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58344F">
        <w:rPr>
          <w:rFonts w:asciiTheme="minorHAnsi" w:hAnsiTheme="minorHAnsi" w:cstheme="minorHAnsi"/>
          <w:sz w:val="28"/>
          <w:szCs w:val="28"/>
          <w:lang w:val="pl-PL"/>
        </w:rPr>
        <w:t>Marek</w:t>
      </w:r>
      <w:r w:rsidR="00487DEA" w:rsidRPr="0058344F">
        <w:rPr>
          <w:rFonts w:asciiTheme="minorHAnsi" w:hAnsiTheme="minorHAnsi" w:cstheme="minorHAnsi"/>
          <w:sz w:val="28"/>
          <w:szCs w:val="28"/>
          <w:lang w:val="pl-PL"/>
        </w:rPr>
        <w:t xml:space="preserve"> mieszka na ul. Nowej 1, 00-000 Warszawa, natomiast spółka ABC sp. z o.o. znajduje się na ul. Starej 2, </w:t>
      </w:r>
      <w:r w:rsidRPr="0058344F">
        <w:rPr>
          <w:rFonts w:asciiTheme="minorHAnsi" w:hAnsiTheme="minorHAnsi" w:cstheme="minorHAnsi"/>
          <w:sz w:val="28"/>
          <w:szCs w:val="28"/>
          <w:lang w:val="pl-PL"/>
        </w:rPr>
        <w:t>0</w:t>
      </w:r>
      <w:r w:rsidR="00487DEA" w:rsidRPr="0058344F">
        <w:rPr>
          <w:rFonts w:asciiTheme="minorHAnsi" w:hAnsiTheme="minorHAnsi" w:cstheme="minorHAnsi"/>
          <w:sz w:val="28"/>
          <w:szCs w:val="28"/>
          <w:lang w:val="pl-PL"/>
        </w:rPr>
        <w:t xml:space="preserve">0-000 </w:t>
      </w:r>
      <w:r w:rsidRPr="0058344F">
        <w:rPr>
          <w:rFonts w:asciiTheme="minorHAnsi" w:hAnsiTheme="minorHAnsi" w:cstheme="minorHAnsi"/>
          <w:sz w:val="28"/>
          <w:szCs w:val="28"/>
          <w:lang w:val="pl-PL"/>
        </w:rPr>
        <w:t>Warszawa</w:t>
      </w:r>
      <w:r w:rsidR="00487DEA" w:rsidRPr="0058344F">
        <w:rPr>
          <w:rFonts w:asciiTheme="minorHAnsi" w:hAnsiTheme="minorHAnsi" w:cstheme="minorHAnsi"/>
          <w:sz w:val="28"/>
          <w:szCs w:val="28"/>
          <w:lang w:val="pl-PL"/>
        </w:rPr>
        <w:t>.</w:t>
      </w:r>
    </w:p>
    <w:p w14:paraId="1C7B22E4" w14:textId="77777777" w:rsidR="00487DEA" w:rsidRPr="0058344F" w:rsidRDefault="00487DEA" w:rsidP="00487DEA">
      <w:pPr>
        <w:ind w:left="426"/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44391007" w14:textId="539783AD" w:rsidR="000648E7" w:rsidRDefault="00605D43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  <w:r w:rsidRPr="000B1037">
        <w:rPr>
          <w:rFonts w:asciiTheme="minorHAnsi" w:hAnsiTheme="minorHAnsi" w:cstheme="minorHAnsi"/>
          <w:i/>
          <w:iCs/>
          <w:color w:val="FF0000"/>
          <w:sz w:val="28"/>
          <w:szCs w:val="28"/>
          <w:lang w:val="pl-PL"/>
        </w:rPr>
        <w:t xml:space="preserve"> </w:t>
      </w:r>
      <w:r w:rsidR="000648E7" w:rsidRPr="000648E7"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  <w:t>Sz</w:t>
      </w:r>
      <w:r w:rsidR="000648E7"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  <w:t>ablon rozwiązania:</w:t>
      </w:r>
    </w:p>
    <w:p w14:paraId="7994914F" w14:textId="77777777" w:rsidR="00605D43" w:rsidRDefault="000648E7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  <w: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  <w:br w:type="column"/>
      </w:r>
    </w:p>
    <w:p w14:paraId="2509B982" w14:textId="77777777" w:rsidR="000648E7" w:rsidRDefault="000648E7" w:rsidP="000648E7">
      <w:pPr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pl-PL"/>
        </w:rPr>
      </w:pPr>
    </w:p>
    <w:p w14:paraId="0625DF18" w14:textId="5AD9FA9F" w:rsidR="000648E7" w:rsidRP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_________________, dnia ___________</w:t>
      </w:r>
    </w:p>
    <w:p w14:paraId="314F2EF5" w14:textId="77777777" w:rsidR="000648E7" w:rsidRP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lang w:val="pl-PL"/>
        </w:rPr>
      </w:pPr>
    </w:p>
    <w:p w14:paraId="06C30E8B" w14:textId="77777777" w:rsidR="000648E7" w:rsidRDefault="000648E7" w:rsidP="000648E7">
      <w:pPr>
        <w:jc w:val="right"/>
        <w:rPr>
          <w:rFonts w:asciiTheme="minorHAnsi" w:hAnsiTheme="minorHAnsi" w:cstheme="minorHAnsi"/>
          <w:color w:val="000000" w:themeColor="text1"/>
          <w:sz w:val="28"/>
          <w:szCs w:val="28"/>
          <w:lang w:val="pl-PL"/>
        </w:rPr>
      </w:pPr>
    </w:p>
    <w:p w14:paraId="30F7C160" w14:textId="033A72EE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6661B693" w14:textId="61F8136A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7BEC2933" w14:textId="42F24DEF" w:rsidR="000648E7" w:rsidRPr="000648E7" w:rsidRDefault="000648E7" w:rsidP="000648E7">
      <w:pPr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</w:p>
    <w:p w14:paraId="785A1400" w14:textId="77777777" w:rsidR="000648E7" w:rsidRDefault="000648E7" w:rsidP="000648E7">
      <w:pPr>
        <w:rPr>
          <w:color w:val="000000" w:themeColor="text1"/>
          <w:sz w:val="28"/>
          <w:szCs w:val="28"/>
          <w:lang w:val="pl-PL"/>
        </w:rPr>
      </w:pPr>
    </w:p>
    <w:p w14:paraId="04675D33" w14:textId="68555723" w:rsidR="000648E7" w:rsidRPr="000648E7" w:rsidRDefault="000648E7" w:rsidP="000648E7">
      <w:pPr>
        <w:ind w:left="4253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  <w:r>
        <w:rPr>
          <w:rFonts w:asciiTheme="minorHAnsi" w:hAnsiTheme="minorHAnsi" w:cstheme="minorHAnsi"/>
          <w:color w:val="000000" w:themeColor="text1"/>
          <w:lang w:val="pl-PL"/>
        </w:rPr>
        <w:t>___</w:t>
      </w:r>
    </w:p>
    <w:p w14:paraId="0C6F23A1" w14:textId="77777777" w:rsidR="000648E7" w:rsidRDefault="000648E7" w:rsidP="000648E7">
      <w:pPr>
        <w:ind w:left="4253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1EB69083" w14:textId="77777777" w:rsidR="000648E7" w:rsidRDefault="000648E7" w:rsidP="000648E7">
      <w:pPr>
        <w:ind w:left="4253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5C28B27C" w14:textId="77777777" w:rsidR="00EC63B0" w:rsidRDefault="00EC63B0" w:rsidP="000648E7">
      <w:pPr>
        <w:ind w:left="4111"/>
        <w:rPr>
          <w:lang w:val="pl-PL"/>
        </w:rPr>
      </w:pPr>
    </w:p>
    <w:p w14:paraId="72EBAEEB" w14:textId="77777777" w:rsidR="000648E7" w:rsidRDefault="000648E7" w:rsidP="000648E7">
      <w:pPr>
        <w:jc w:val="center"/>
        <w:rPr>
          <w:lang w:val="pl-PL"/>
        </w:rPr>
      </w:pPr>
    </w:p>
    <w:p w14:paraId="42410475" w14:textId="4C3BC1F6" w:rsidR="000648E7" w:rsidRPr="000648E7" w:rsidRDefault="000648E7" w:rsidP="000648E7">
      <w:pPr>
        <w:jc w:val="center"/>
        <w:rPr>
          <w:sz w:val="28"/>
          <w:szCs w:val="28"/>
          <w:lang w:val="pl-PL"/>
        </w:rPr>
      </w:pPr>
      <w:r w:rsidRPr="000648E7">
        <w:rPr>
          <w:sz w:val="28"/>
          <w:szCs w:val="28"/>
          <w:lang w:val="pl-PL"/>
        </w:rPr>
        <w:t>_____________________________________</w:t>
      </w:r>
    </w:p>
    <w:p w14:paraId="546DEA28" w14:textId="0B8DF5F5" w:rsidR="000648E7" w:rsidRDefault="000648E7" w:rsidP="000648E7">
      <w:pPr>
        <w:jc w:val="center"/>
        <w:rPr>
          <w:sz w:val="28"/>
          <w:szCs w:val="28"/>
          <w:lang w:val="pl-PL"/>
        </w:rPr>
      </w:pPr>
      <w:r w:rsidRPr="000648E7">
        <w:rPr>
          <w:sz w:val="28"/>
          <w:szCs w:val="28"/>
          <w:lang w:val="pl-PL"/>
        </w:rPr>
        <w:t>_____________________________________</w:t>
      </w:r>
    </w:p>
    <w:p w14:paraId="4CB16DA0" w14:textId="77777777" w:rsidR="000648E7" w:rsidRDefault="000648E7" w:rsidP="000648E7">
      <w:pPr>
        <w:jc w:val="center"/>
        <w:rPr>
          <w:sz w:val="28"/>
          <w:szCs w:val="28"/>
          <w:lang w:val="pl-PL"/>
        </w:rPr>
      </w:pPr>
    </w:p>
    <w:p w14:paraId="60251A30" w14:textId="77777777" w:rsidR="000648E7" w:rsidRDefault="000648E7" w:rsidP="000648E7">
      <w:pPr>
        <w:jc w:val="center"/>
        <w:rPr>
          <w:sz w:val="28"/>
          <w:szCs w:val="28"/>
          <w:lang w:val="pl-PL"/>
        </w:rPr>
      </w:pPr>
    </w:p>
    <w:p w14:paraId="2F163E7D" w14:textId="2CAF7737" w:rsidR="000648E7" w:rsidRPr="000648E7" w:rsidRDefault="001247C6" w:rsidP="000648E7">
      <w:pPr>
        <w:ind w:firstLine="851"/>
        <w:jc w:val="both"/>
        <w:rPr>
          <w:sz w:val="28"/>
          <w:szCs w:val="28"/>
          <w:lang w:val="pl-PL"/>
        </w:rPr>
      </w:pPr>
      <w:r w:rsidRPr="001247C6">
        <w:rPr>
          <w:rFonts w:asciiTheme="minorHAnsi" w:hAnsiTheme="minorHAnsi" w:cstheme="minorHAnsi"/>
          <w:lang w:val="pl-PL"/>
        </w:rPr>
        <w:t xml:space="preserve">W dniu </w:t>
      </w:r>
      <w:r>
        <w:rPr>
          <w:rFonts w:asciiTheme="minorHAnsi" w:hAnsiTheme="minorHAnsi" w:cstheme="minorHAnsi"/>
          <w:lang w:val="pl-PL"/>
        </w:rPr>
        <w:t>…………………………</w:t>
      </w:r>
      <w:r w:rsidRPr="001247C6">
        <w:rPr>
          <w:rFonts w:asciiTheme="minorHAnsi" w:hAnsiTheme="minorHAnsi" w:cstheme="minorHAnsi"/>
          <w:lang w:val="pl-PL"/>
        </w:rPr>
        <w:t xml:space="preserve"> roku zakupił</w:t>
      </w:r>
      <w:r w:rsidR="00487DEA">
        <w:rPr>
          <w:rFonts w:asciiTheme="minorHAnsi" w:hAnsiTheme="minorHAnsi" w:cstheme="minorHAnsi"/>
          <w:lang w:val="pl-PL"/>
        </w:rPr>
        <w:t>e</w:t>
      </w:r>
      <w:r w:rsidRPr="001247C6">
        <w:rPr>
          <w:rFonts w:asciiTheme="minorHAnsi" w:hAnsiTheme="minorHAnsi" w:cstheme="minorHAnsi"/>
          <w:lang w:val="pl-PL"/>
        </w:rPr>
        <w:t xml:space="preserve">m </w:t>
      </w:r>
      <w:r w:rsidR="000648E7">
        <w:rPr>
          <w:rFonts w:asciiTheme="minorHAnsi" w:hAnsiTheme="minorHAnsi" w:cstheme="minorHAnsi"/>
          <w:lang w:val="pl-PL"/>
        </w:rPr>
        <w:t>………………………………………………………………… …………………………………………………………………………………………………………………………………………</w:t>
      </w:r>
      <w:proofErr w:type="gramStart"/>
      <w:r w:rsidR="000648E7">
        <w:rPr>
          <w:rFonts w:asciiTheme="minorHAnsi" w:hAnsiTheme="minorHAnsi" w:cstheme="minorHAnsi"/>
          <w:lang w:val="pl-PL"/>
        </w:rPr>
        <w:t>…….</w:t>
      </w:r>
      <w:proofErr w:type="gramEnd"/>
      <w:r w:rsidR="000648E7">
        <w:rPr>
          <w:rFonts w:asciiTheme="minorHAnsi" w:hAnsiTheme="minorHAnsi" w:cstheme="minorHAnsi"/>
          <w:lang w:val="pl-PL"/>
        </w:rPr>
        <w:t>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61AD2E15" w14:textId="470E20DA" w:rsidR="000648E7" w:rsidRPr="000648E7" w:rsidRDefault="00785783" w:rsidP="000648E7">
      <w:pPr>
        <w:ind w:firstLine="851"/>
        <w:jc w:val="both"/>
        <w:rPr>
          <w:sz w:val="28"/>
          <w:szCs w:val="28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W związku z powyższym na podstawie </w:t>
      </w:r>
      <w:r w:rsidR="000648E7">
        <w:rPr>
          <w:rFonts w:asciiTheme="minorHAnsi" w:hAnsiTheme="minorHAnsi" w:cstheme="minorHAnsi"/>
          <w:lang w:val="pl-PL"/>
        </w:rPr>
        <w:t>…………………………………………………… …………………………………………………………………………………………………………………………………………</w:t>
      </w:r>
      <w:proofErr w:type="gramStart"/>
      <w:r w:rsidR="000648E7">
        <w:rPr>
          <w:rFonts w:asciiTheme="minorHAnsi" w:hAnsiTheme="minorHAnsi" w:cstheme="minorHAnsi"/>
          <w:lang w:val="pl-PL"/>
        </w:rPr>
        <w:t>…….</w:t>
      </w:r>
      <w:proofErr w:type="gramEnd"/>
      <w:r w:rsidR="000648E7">
        <w:rPr>
          <w:rFonts w:asciiTheme="minorHAnsi" w:hAnsiTheme="minorHAnsi" w:cstheme="minorHAnsi"/>
          <w:lang w:val="pl-PL"/>
        </w:rPr>
        <w:t>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441B1EFC" w14:textId="4BCDBE9C" w:rsidR="000648E7" w:rsidRPr="000648E7" w:rsidRDefault="000648E7" w:rsidP="000648E7">
      <w:pPr>
        <w:ind w:firstLine="851"/>
        <w:jc w:val="both"/>
        <w:rPr>
          <w:sz w:val="28"/>
          <w:szCs w:val="28"/>
          <w:lang w:val="pl-PL"/>
        </w:rPr>
      </w:pPr>
    </w:p>
    <w:p w14:paraId="5B155A59" w14:textId="77777777" w:rsidR="000648E7" w:rsidRPr="000648E7" w:rsidRDefault="000648E7" w:rsidP="000648E7">
      <w:pPr>
        <w:ind w:left="4253"/>
        <w:jc w:val="right"/>
        <w:rPr>
          <w:rFonts w:asciiTheme="minorHAnsi" w:hAnsiTheme="minorHAnsi" w:cstheme="minorHAnsi"/>
          <w:color w:val="000000" w:themeColor="text1"/>
          <w:lang w:val="pl-PL"/>
        </w:rPr>
      </w:pPr>
      <w:r w:rsidRPr="000648E7">
        <w:rPr>
          <w:rFonts w:asciiTheme="minorHAnsi" w:hAnsiTheme="minorHAnsi" w:cstheme="minorHAnsi"/>
          <w:color w:val="000000" w:themeColor="text1"/>
          <w:lang w:val="pl-PL"/>
        </w:rPr>
        <w:t>_______________</w:t>
      </w:r>
      <w:r>
        <w:rPr>
          <w:rFonts w:asciiTheme="minorHAnsi" w:hAnsiTheme="minorHAnsi" w:cstheme="minorHAnsi"/>
          <w:color w:val="000000" w:themeColor="text1"/>
          <w:lang w:val="pl-PL"/>
        </w:rPr>
        <w:t>___</w:t>
      </w:r>
    </w:p>
    <w:p w14:paraId="5D37FC18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47CF16E9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_______________</w:t>
      </w:r>
    </w:p>
    <w:p w14:paraId="74E446DA" w14:textId="77777777" w:rsidR="000648E7" w:rsidRDefault="000648E7" w:rsidP="000648E7">
      <w:pPr>
        <w:ind w:left="4253"/>
        <w:jc w:val="right"/>
        <w:rPr>
          <w:color w:val="000000" w:themeColor="text1"/>
          <w:sz w:val="28"/>
          <w:szCs w:val="28"/>
          <w:lang w:val="pl-PL"/>
        </w:rPr>
      </w:pPr>
    </w:p>
    <w:p w14:paraId="22AABD75" w14:textId="073C09F8" w:rsidR="000648E7" w:rsidRPr="00104AF4" w:rsidRDefault="000648E7" w:rsidP="00104AF4">
      <w:pPr>
        <w:rPr>
          <w:color w:val="000000" w:themeColor="text1"/>
          <w:sz w:val="28"/>
          <w:szCs w:val="28"/>
          <w:lang w:val="pl-PL"/>
        </w:rPr>
      </w:pPr>
    </w:p>
    <w:p w14:paraId="7D3AC043" w14:textId="77777777" w:rsidR="000648E7" w:rsidRPr="000648E7" w:rsidRDefault="000648E7" w:rsidP="000648E7">
      <w:pPr>
        <w:ind w:firstLine="851"/>
        <w:rPr>
          <w:sz w:val="28"/>
          <w:szCs w:val="28"/>
          <w:lang w:val="pl-PL"/>
        </w:rPr>
      </w:pPr>
    </w:p>
    <w:p w14:paraId="3787C296" w14:textId="7E8EAC1C" w:rsidR="000648E7" w:rsidRPr="000648E7" w:rsidRDefault="000648E7" w:rsidP="000648E7">
      <w:pPr>
        <w:ind w:firstLine="851"/>
        <w:jc w:val="right"/>
        <w:rPr>
          <w:sz w:val="28"/>
          <w:szCs w:val="28"/>
          <w:lang w:val="pl-PL"/>
        </w:rPr>
      </w:pPr>
    </w:p>
    <w:p w14:paraId="20542600" w14:textId="06D70D24" w:rsidR="00EC63B0" w:rsidRDefault="00EC63B0" w:rsidP="000648E7">
      <w:pPr>
        <w:rPr>
          <w:lang w:val="pl-PL"/>
        </w:rPr>
      </w:pPr>
      <w:r w:rsidRPr="000B1037">
        <w:rPr>
          <w:lang w:val="pl-PL"/>
        </w:rPr>
        <w:br w:type="page"/>
      </w:r>
    </w:p>
    <w:p w14:paraId="2ECB1E5C" w14:textId="77777777" w:rsidR="0035124C" w:rsidRPr="0035124C" w:rsidRDefault="0035124C" w:rsidP="0035124C">
      <w:pPr>
        <w:spacing w:before="89" w:line="259" w:lineRule="auto"/>
        <w:jc w:val="center"/>
        <w:rPr>
          <w:rFonts w:asciiTheme="minorHAnsi" w:hAnsiTheme="minorHAnsi" w:cstheme="minorHAnsi"/>
          <w:lang w:val="pl-PL"/>
        </w:rPr>
      </w:pPr>
      <w:proofErr w:type="gramStart"/>
      <w:r w:rsidRPr="007D28B2">
        <w:rPr>
          <w:rFonts w:asciiTheme="minorHAnsi" w:hAnsiTheme="minorHAnsi" w:cstheme="minorHAnsi"/>
          <w:b/>
          <w:color w:val="000000"/>
          <w:lang w:val="pl-PL"/>
        </w:rPr>
        <w:lastRenderedPageBreak/>
        <w:t>Rozdział  5</w:t>
      </w:r>
      <w:proofErr w:type="gramEnd"/>
      <w:r w:rsidRPr="007D28B2">
        <w:rPr>
          <w:rFonts w:asciiTheme="minorHAnsi" w:hAnsiTheme="minorHAnsi" w:cstheme="minorHAnsi"/>
          <w:b/>
          <w:color w:val="000000"/>
          <w:lang w:val="pl-PL"/>
        </w:rPr>
        <w:t>a</w:t>
      </w:r>
    </w:p>
    <w:p w14:paraId="41587C00" w14:textId="77777777" w:rsidR="0035124C" w:rsidRPr="0035124C" w:rsidRDefault="0035124C" w:rsidP="0035124C">
      <w:pPr>
        <w:spacing w:before="25" w:line="259" w:lineRule="auto"/>
        <w:jc w:val="center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Umowy zobowiązujące do przeniesienia własności towaru na konsumenta</w:t>
      </w:r>
    </w:p>
    <w:p w14:paraId="7A99D7E6" w14:textId="77777777" w:rsidR="0035124C" w:rsidRPr="0035124C" w:rsidRDefault="0035124C" w:rsidP="0035124C">
      <w:pPr>
        <w:spacing w:before="80" w:line="259" w:lineRule="auto"/>
        <w:rPr>
          <w:rFonts w:asciiTheme="minorHAnsi" w:hAnsiTheme="minorHAnsi" w:cstheme="minorHAnsi"/>
          <w:lang w:val="pl-PL"/>
        </w:rPr>
      </w:pPr>
    </w:p>
    <w:p w14:paraId="7AFC92D4" w14:textId="77777777" w:rsidR="0035124C" w:rsidRPr="0035124C" w:rsidRDefault="0035124C" w:rsidP="0058344F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43a.  [Zakres stosowania przepisów rozdziału; wyłączenie stosowania przepisów k.c.]</w:t>
      </w:r>
    </w:p>
    <w:p w14:paraId="4699CE05" w14:textId="6590BFFD" w:rsidR="0035124C" w:rsidRPr="007D28B2" w:rsidRDefault="0035124C" w:rsidP="0058344F">
      <w:pPr>
        <w:pStyle w:val="Akapitzlist"/>
        <w:numPr>
          <w:ilvl w:val="0"/>
          <w:numId w:val="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W razie braku zgodności towaru z umową konsumentowi przysługują uprawnienia określone w</w:t>
      </w:r>
      <w:r w:rsidR="0058344F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 xml:space="preserve">niniejszym rozdziale. Do umów zobowiązujących do przeniesienia własności towaru na konsumenta, w tym w szczególności umów sprzedaży, umów dostawy oraz umów o dzieło będące towarem, nie stosuje się przepisów księgi trzeciej tytułu XI działu II </w:t>
      </w:r>
      <w:r w:rsidRPr="007D28B2">
        <w:rPr>
          <w:rFonts w:cstheme="minorHAnsi"/>
          <w:color w:val="1B1B1B"/>
          <w:szCs w:val="24"/>
        </w:rPr>
        <w:t>ustawy</w:t>
      </w:r>
      <w:r w:rsidRPr="007D28B2">
        <w:rPr>
          <w:rFonts w:cstheme="minorHAnsi"/>
          <w:color w:val="000000"/>
          <w:szCs w:val="24"/>
        </w:rPr>
        <w:t xml:space="preserve"> z dnia 23 kwietnia 1964 r. - Kodeks cywilny (Dz. U. z 2022 r. poz. 1360 i 2337).</w:t>
      </w:r>
    </w:p>
    <w:p w14:paraId="15816B2A" w14:textId="77777777" w:rsidR="0035124C" w:rsidRPr="007D28B2" w:rsidRDefault="0035124C" w:rsidP="0058344F">
      <w:pPr>
        <w:pStyle w:val="Akapitzlist"/>
        <w:numPr>
          <w:ilvl w:val="0"/>
          <w:numId w:val="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Przepisów niniejszego rozdziału nie stosuje się do towaru, który służy wyłącznie jako nośnik treści cyfrowej.</w:t>
      </w:r>
    </w:p>
    <w:p w14:paraId="20F8D977" w14:textId="77777777" w:rsidR="0035124C" w:rsidRPr="0035124C" w:rsidRDefault="0035124C" w:rsidP="0058344F">
      <w:pPr>
        <w:spacing w:before="80" w:line="259" w:lineRule="auto"/>
        <w:jc w:val="both"/>
        <w:rPr>
          <w:rFonts w:asciiTheme="minorHAnsi" w:hAnsiTheme="minorHAnsi" w:cstheme="minorHAnsi"/>
          <w:lang w:val="pl-PL"/>
        </w:rPr>
      </w:pPr>
    </w:p>
    <w:p w14:paraId="05BB6E58" w14:textId="77777777" w:rsidR="0035124C" w:rsidRPr="0035124C" w:rsidRDefault="0035124C" w:rsidP="0058344F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43b.  [Zgodność towaru z umową]</w:t>
      </w:r>
    </w:p>
    <w:p w14:paraId="0284DDB8" w14:textId="77777777" w:rsidR="0035124C" w:rsidRPr="007D28B2" w:rsidRDefault="0035124C" w:rsidP="0058344F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Towar jest zgodny z umową, jeżeli zgodne z umową pozostają w szczególności jego:</w:t>
      </w:r>
    </w:p>
    <w:p w14:paraId="3E3A94B7" w14:textId="271D8CE9" w:rsidR="0035124C" w:rsidRPr="007D28B2" w:rsidRDefault="0035124C" w:rsidP="0058344F">
      <w:pPr>
        <w:pStyle w:val="Akapitzlist"/>
        <w:numPr>
          <w:ilvl w:val="0"/>
          <w:numId w:val="5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opis, rodzaj, ilość, jakość, kompletność i funkcjonalność, a w odniesieniu do towarów z</w:t>
      </w:r>
      <w:r w:rsidR="0058344F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elementami cyfrowymi - również kompatybilność, interoperacyjność i dostępność aktualizacji;</w:t>
      </w:r>
    </w:p>
    <w:p w14:paraId="68680526" w14:textId="77777777" w:rsidR="0035124C" w:rsidRPr="007D28B2" w:rsidRDefault="0035124C" w:rsidP="0058344F">
      <w:pPr>
        <w:pStyle w:val="Akapitzlist"/>
        <w:numPr>
          <w:ilvl w:val="0"/>
          <w:numId w:val="5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przydatność do szczególnego celu, do którego jest potrzebny konsumentowi, o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którym konsument powiadomił przedsiębiorcę najpóźniej w chwili zawarcia umowy i który przedsiębiorca zaakceptował.</w:t>
      </w:r>
    </w:p>
    <w:p w14:paraId="799A7D62" w14:textId="77777777" w:rsidR="0035124C" w:rsidRPr="007D28B2" w:rsidRDefault="0035124C" w:rsidP="0058344F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Ponadto towar, aby został uznany za zgodny z umową, musi:</w:t>
      </w:r>
    </w:p>
    <w:p w14:paraId="36C91F19" w14:textId="77777777" w:rsidR="0035124C" w:rsidRPr="007D28B2" w:rsidRDefault="0035124C" w:rsidP="0058344F">
      <w:pPr>
        <w:pStyle w:val="Akapitzlist"/>
        <w:numPr>
          <w:ilvl w:val="0"/>
          <w:numId w:val="6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nadawać się do celów, do których zazwyczaj używa się towaru tego rodzaju, z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uwzględnieniem obowiązujących przepisów prawa, norm technicznych lub dobrych praktyk;</w:t>
      </w:r>
    </w:p>
    <w:p w14:paraId="5CBADDB8" w14:textId="07A5C5D5" w:rsidR="0035124C" w:rsidRPr="007D28B2" w:rsidRDefault="0035124C" w:rsidP="0058344F">
      <w:pPr>
        <w:pStyle w:val="Akapitzlist"/>
        <w:numPr>
          <w:ilvl w:val="0"/>
          <w:numId w:val="6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występować w takiej ilości i mieć takie cechy, w tym trwałość i bezpieczeństwo, a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w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odniesieniu do towarów z elementami cyfrowymi - również funkcjonalność i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kompatybilność, jakie są typowe dla towaru tego rodzaju i których konsument może rozsądnie oczekiwać, biorąc pod uwagę charakter towaru oraz publiczne zapewnienie złożone przez przedsiębiorcę, jego poprzedników prawnych lub osoby działające w ich imieniu, w</w:t>
      </w:r>
      <w:r w:rsidR="0058344F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szczególności w reklamie lub na etykiecie, chyba że przedsiębiorca wykaże, że:</w:t>
      </w:r>
    </w:p>
    <w:p w14:paraId="07D8BB4E" w14:textId="77777777" w:rsidR="0035124C" w:rsidRPr="007D28B2" w:rsidRDefault="0035124C" w:rsidP="0058344F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nie wiedział o danym publicznym zapewnieniu i oceniając rozsądnie, nie mógł o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nim wiedzieć,</w:t>
      </w:r>
    </w:p>
    <w:p w14:paraId="2096628D" w14:textId="77777777" w:rsidR="0035124C" w:rsidRPr="007D28B2" w:rsidRDefault="0035124C" w:rsidP="0058344F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 zawarciem umowy publiczne zapewnienie zostało sprostowane z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zachowaniem warunków i formy, w jakich publiczne zapewnienie zostało złożone, lub w porównywalny sposób,</w:t>
      </w:r>
    </w:p>
    <w:p w14:paraId="444F6C13" w14:textId="77777777" w:rsidR="0035124C" w:rsidRPr="007D28B2" w:rsidRDefault="0035124C" w:rsidP="0058344F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publiczne zapewnienie nie miało wpływu na decyzję konsumenta o zawarciu umowy;</w:t>
      </w:r>
    </w:p>
    <w:p w14:paraId="66693868" w14:textId="77777777" w:rsidR="0058344F" w:rsidRPr="0058344F" w:rsidRDefault="0035124C" w:rsidP="0058344F">
      <w:pPr>
        <w:pStyle w:val="Akapitzlist"/>
        <w:numPr>
          <w:ilvl w:val="0"/>
          <w:numId w:val="6"/>
        </w:numPr>
        <w:spacing w:before="26" w:after="0"/>
        <w:ind w:left="709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być dostarczany z opakowaniem, akcesoriami i instrukcjami, których dostarczenia konsument może rozsądnie oczekiwać;</w:t>
      </w:r>
    </w:p>
    <w:p w14:paraId="1FD9243F" w14:textId="06E04FFC" w:rsidR="0035124C" w:rsidRPr="0058344F" w:rsidRDefault="0035124C" w:rsidP="0058344F">
      <w:pPr>
        <w:pStyle w:val="Akapitzlist"/>
        <w:numPr>
          <w:ilvl w:val="0"/>
          <w:numId w:val="6"/>
        </w:numPr>
        <w:spacing w:before="26" w:after="0"/>
        <w:ind w:left="709"/>
        <w:jc w:val="both"/>
        <w:rPr>
          <w:rFonts w:cstheme="minorHAnsi"/>
          <w:szCs w:val="24"/>
        </w:rPr>
      </w:pPr>
      <w:r w:rsidRPr="0058344F">
        <w:rPr>
          <w:rFonts w:cstheme="minorHAnsi"/>
          <w:color w:val="000000"/>
        </w:rPr>
        <w:t>być takiej samej jakości jak próbka lub wzór, które przedsiębiorca udostępnił konsumentowi przed zawarciem umowy, i odpowiadać opisowi takiej próbki lub takiego wzoru.</w:t>
      </w:r>
    </w:p>
    <w:p w14:paraId="685045FF" w14:textId="77777777" w:rsidR="0035124C" w:rsidRPr="007D28B2" w:rsidRDefault="0035124C" w:rsidP="0058344F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Do towarów z elementami cyfrowymi przepisy art. 43k ust. 3 i 4 oraz art. 43l ust. 4 stosuje się odpowiednio.</w:t>
      </w:r>
    </w:p>
    <w:p w14:paraId="6A9A41EB" w14:textId="30062F75" w:rsidR="0035124C" w:rsidRPr="007D28B2" w:rsidRDefault="0035124C" w:rsidP="0058344F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lastRenderedPageBreak/>
        <w:t>Przedsiębiorca nie ponosi odpowiedzialności za brak zgodności towaru z umową w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zakresie, o</w:t>
      </w:r>
      <w:r w:rsidR="0058344F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którym mowa w ust. 2 lub 3, jeżeli konsument, najpóźniej w chwili zawarcia umowy, został wyraźnie poinformowany, że konkretna cecha towaru odbiega od wymogów zgodności z umową określonych w ust. 2 lub 3, oraz wyraźnie i odrębnie zaakceptował brak konkretnej cechy towaru.</w:t>
      </w:r>
    </w:p>
    <w:p w14:paraId="3ADFBEFF" w14:textId="3FDCA684" w:rsidR="0035124C" w:rsidRPr="007D28B2" w:rsidRDefault="0035124C" w:rsidP="0058344F">
      <w:pPr>
        <w:pStyle w:val="Akapitzlist"/>
        <w:numPr>
          <w:ilvl w:val="0"/>
          <w:numId w:val="8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ponosi odpowiedzialność za brak zgodności towaru z umową wynikający z</w:t>
      </w:r>
      <w:r w:rsidR="0058344F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niewłaściwego zamontowania towaru, jeżeli:</w:t>
      </w:r>
    </w:p>
    <w:p w14:paraId="34AF0252" w14:textId="77777777" w:rsidR="0035124C" w:rsidRPr="007D28B2" w:rsidRDefault="0035124C" w:rsidP="0058344F">
      <w:pPr>
        <w:pStyle w:val="Akapitzlist"/>
        <w:numPr>
          <w:ilvl w:val="0"/>
          <w:numId w:val="9"/>
        </w:numPr>
        <w:spacing w:before="26" w:after="0"/>
        <w:ind w:left="851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zostało ono przeprowadzone przez przedsiębiorcę lub na jego odpowiedzialność;</w:t>
      </w:r>
    </w:p>
    <w:p w14:paraId="38F8DAC8" w14:textId="77777777" w:rsidR="0035124C" w:rsidRPr="007D28B2" w:rsidRDefault="0035124C" w:rsidP="0058344F">
      <w:pPr>
        <w:pStyle w:val="Akapitzlist"/>
        <w:numPr>
          <w:ilvl w:val="0"/>
          <w:numId w:val="9"/>
        </w:numPr>
        <w:spacing w:before="26" w:after="0"/>
        <w:ind w:left="851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niewłaściwe zamontowanie przeprowadzone przez konsumenta wynikało z błędów w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instrukcji dostarczonej przez przedsiębiorcę lub osobę trzecią, o której mowa w art. 6 ust. 2.</w:t>
      </w:r>
    </w:p>
    <w:p w14:paraId="3DEE0013" w14:textId="77777777" w:rsidR="0035124C" w:rsidRPr="0035124C" w:rsidRDefault="0035124C" w:rsidP="0058344F">
      <w:pPr>
        <w:spacing w:before="80" w:line="259" w:lineRule="auto"/>
        <w:jc w:val="both"/>
        <w:rPr>
          <w:rFonts w:asciiTheme="minorHAnsi" w:hAnsiTheme="minorHAnsi" w:cstheme="minorHAnsi"/>
          <w:lang w:val="pl-PL"/>
        </w:rPr>
      </w:pPr>
    </w:p>
    <w:p w14:paraId="6E85B570" w14:textId="13115642" w:rsidR="0035124C" w:rsidRPr="0035124C" w:rsidRDefault="0035124C" w:rsidP="0058344F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43c.  [Czasowe granice odpowiedzialności przedsiębiorcy za brak zgodności towaru z</w:t>
      </w:r>
      <w:r w:rsidR="0058344F">
        <w:rPr>
          <w:rFonts w:asciiTheme="minorHAnsi" w:hAnsiTheme="minorHAnsi" w:cstheme="minorHAnsi"/>
          <w:b/>
          <w:color w:val="000000"/>
          <w:lang w:val="pl-PL"/>
        </w:rPr>
        <w:t> </w:t>
      </w:r>
      <w:r w:rsidRPr="007D28B2">
        <w:rPr>
          <w:rFonts w:asciiTheme="minorHAnsi" w:hAnsiTheme="minorHAnsi" w:cstheme="minorHAnsi"/>
          <w:b/>
          <w:color w:val="000000"/>
          <w:lang w:val="pl-PL"/>
        </w:rPr>
        <w:t>umową]</w:t>
      </w:r>
    </w:p>
    <w:p w14:paraId="1A8E700B" w14:textId="77777777" w:rsidR="0035124C" w:rsidRPr="007D28B2" w:rsidRDefault="0035124C" w:rsidP="0058344F">
      <w:pPr>
        <w:pStyle w:val="Akapitzlist"/>
        <w:numPr>
          <w:ilvl w:val="0"/>
          <w:numId w:val="10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ponosi odpowiedzialność za brak zgodności towaru z umową istniejący w chwili jego dostarczenia i ujawniony w ciągu dwóch lat od tej chwili, chyba że termin przydatności towaru do użycia, określony przez przedsiębiorcę, jego poprzedników prawnych lub osoby działające w ich imieniu, jest dłuższy. Domniemywa się, że brak zgodności towaru z umową, który ujawnił się przed upływem dwóch lat od chwili dostarczenia towaru, istniał w chwili jego dostarczenia, o ile nie zostanie udowodnione inaczej lub domniemania tego nie można pogodzić ze specyfiką towaru lub charakterem braku zgodności towaru z umową.</w:t>
      </w:r>
    </w:p>
    <w:p w14:paraId="656D0E1E" w14:textId="77777777" w:rsidR="0035124C" w:rsidRPr="007D28B2" w:rsidRDefault="0035124C" w:rsidP="0058344F">
      <w:pPr>
        <w:pStyle w:val="Akapitzlist"/>
        <w:numPr>
          <w:ilvl w:val="0"/>
          <w:numId w:val="10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nie może powoływać się na upływ terminu do stwierdzenia braku zgodności towaru z umową określonego w ust. 1, jeżeli brak ten podstępnie zataił.</w:t>
      </w:r>
    </w:p>
    <w:p w14:paraId="23C3709D" w14:textId="77777777" w:rsidR="0035124C" w:rsidRPr="007D28B2" w:rsidRDefault="0035124C" w:rsidP="0058344F">
      <w:pPr>
        <w:pStyle w:val="Akapitzlist"/>
        <w:numPr>
          <w:ilvl w:val="0"/>
          <w:numId w:val="10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W odniesieniu do towarów z elementami cyfrowymi, przedsiębiorca ponosi odpowiedzialność za brak zgodności z umową treści cyfrowej lub usługi cyfrowej dostarczanych w sposób ciągły, który wystąpił lub ujawnił się w czasie, w którym zgodnie z umową miały być dostarczane. Czas ten nie może być krótszy niż dwa lata od chwili dostarczenia towaru z elementami cyfrowymi. Domniemywa się, że brak zgodności treści cyfrowej lub usługi cyfrowej z umową wystąpił w tym czasie, jeżeli w tym czasie się ujawnił.</w:t>
      </w:r>
    </w:p>
    <w:p w14:paraId="1BC3F71A" w14:textId="77777777" w:rsidR="0035124C" w:rsidRPr="0035124C" w:rsidRDefault="0035124C" w:rsidP="0058344F">
      <w:pPr>
        <w:spacing w:before="80" w:line="259" w:lineRule="auto"/>
        <w:jc w:val="both"/>
        <w:rPr>
          <w:rFonts w:asciiTheme="minorHAnsi" w:hAnsiTheme="minorHAnsi" w:cstheme="minorHAnsi"/>
          <w:lang w:val="pl-PL"/>
        </w:rPr>
      </w:pPr>
    </w:p>
    <w:p w14:paraId="47EB5F89" w14:textId="77777777" w:rsidR="0035124C" w:rsidRPr="0035124C" w:rsidRDefault="0035124C" w:rsidP="0058344F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43d.  [Uprawnienia konsumenta w przypadku braku zgodności z umową]</w:t>
      </w:r>
    </w:p>
    <w:p w14:paraId="2BBCE25D" w14:textId="77777777" w:rsidR="0035124C" w:rsidRPr="007D28B2" w:rsidRDefault="0035124C" w:rsidP="0058344F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Jeżeli towar jest niezgodny z umową, konsument może żądać jego naprawy lub wymiany.</w:t>
      </w:r>
    </w:p>
    <w:p w14:paraId="0844CA3A" w14:textId="0FB66498" w:rsidR="0035124C" w:rsidRPr="007D28B2" w:rsidRDefault="0035124C" w:rsidP="0058344F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 xml:space="preserve">Przedsiębiorca może dokonać wymiany, gdy konsument żąda </w:t>
      </w:r>
      <w:proofErr w:type="gramStart"/>
      <w:r w:rsidRPr="007D28B2">
        <w:rPr>
          <w:rFonts w:cstheme="minorHAnsi"/>
          <w:color w:val="000000"/>
          <w:szCs w:val="24"/>
        </w:rPr>
        <w:t>naprawy,</w:t>
      </w:r>
      <w:proofErr w:type="gramEnd"/>
      <w:r w:rsidRPr="007D28B2">
        <w:rPr>
          <w:rFonts w:cstheme="minorHAnsi"/>
          <w:color w:val="000000"/>
          <w:szCs w:val="24"/>
        </w:rPr>
        <w:t xml:space="preserve"> lub przedsiębiorca może dokonać naprawy, gdy konsument żąda wymiany, jeżeli doprowadzenie do zgodności towaru z</w:t>
      </w:r>
      <w:r w:rsidR="0058344F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umową w sposób wybrany przez konsumenta jest niemożliwe albo wymagałoby nadmiernych kosztów dla przedsiębiorcy. Jeżeli naprawa i wymiana są niemożliwe lub wymagałyby nadmiernych kosztów dla przedsiębiorcy, może on odmówić doprowadzenia towaru do zgodności z umową.</w:t>
      </w:r>
    </w:p>
    <w:p w14:paraId="520ECEA3" w14:textId="77777777" w:rsidR="0035124C" w:rsidRPr="007D28B2" w:rsidRDefault="0035124C" w:rsidP="0058344F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Przy ocenie nadmierności kosztów dla przedsiębiorcy uwzględnia się wszelkie okoliczności sprawy, w szczególności znaczenie braku zgodności towaru z umową, wartość towaru zgodnego z umową oraz nadmierne niedogodności dla konsumenta powstałe wskutek zmiany sposobu doprowadzenia towaru do zgodności z umową.</w:t>
      </w:r>
    </w:p>
    <w:p w14:paraId="1D1A2C91" w14:textId="77777777" w:rsidR="0035124C" w:rsidRPr="007D28B2" w:rsidRDefault="0035124C" w:rsidP="0058344F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lastRenderedPageBreak/>
        <w:t>Przedsiębiorca dokonuje naprawy lub wymiany w rozsądnym czasie od chwili, w której przedsiębiorca został poinformowany przez konsumenta o braku zgodności z umową, i bez nadmiernych niedogodności dla konsumenta, uwzględniając specyfikę towaru oraz cel, w jakim konsument go nabył. Koszty naprawy lub wymiany, w tym w szczególności koszty opłat pocztowych, przewozu, robocizny i materiałów, ponosi przedsiębiorca.</w:t>
      </w:r>
    </w:p>
    <w:p w14:paraId="102C78FE" w14:textId="77777777" w:rsidR="0035124C" w:rsidRPr="007D28B2" w:rsidRDefault="0035124C" w:rsidP="0058344F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Konsument udostępnia przedsiębiorcy towar podlegający naprawie lub wymianie. Przedsiębiorca odbiera od konsumenta towar na swój koszt.</w:t>
      </w:r>
    </w:p>
    <w:p w14:paraId="152A523C" w14:textId="77777777" w:rsidR="0035124C" w:rsidRPr="007D28B2" w:rsidRDefault="0035124C" w:rsidP="0058344F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Jeżeli towar został zamontowany przed ujawnieniem się braku zgodności towaru z</w:t>
      </w:r>
      <w:r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umową, przedsiębiorca demontuje towar oraz montuje go ponownie po dokonaniu naprawy lub wymiany albo zleca wykonanie tych czynności na swój koszt.</w:t>
      </w:r>
    </w:p>
    <w:p w14:paraId="13A196D9" w14:textId="77777777" w:rsidR="0035124C" w:rsidRPr="007D28B2" w:rsidRDefault="0035124C" w:rsidP="0058344F">
      <w:pPr>
        <w:pStyle w:val="Akapitzlist"/>
        <w:numPr>
          <w:ilvl w:val="0"/>
          <w:numId w:val="11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Konsument nie jest zobowiązany do zapłaty za zwykłe korzystanie z towaru, który następnie został wymieniony.</w:t>
      </w:r>
    </w:p>
    <w:p w14:paraId="3924CE83" w14:textId="77777777" w:rsidR="0035124C" w:rsidRPr="0035124C" w:rsidRDefault="0035124C" w:rsidP="0058344F">
      <w:pPr>
        <w:spacing w:before="80" w:line="259" w:lineRule="auto"/>
        <w:jc w:val="both"/>
        <w:rPr>
          <w:rFonts w:asciiTheme="minorHAnsi" w:hAnsiTheme="minorHAnsi" w:cstheme="minorHAnsi"/>
          <w:lang w:val="pl-PL"/>
        </w:rPr>
      </w:pPr>
    </w:p>
    <w:p w14:paraId="54133C99" w14:textId="77777777" w:rsidR="0035124C" w:rsidRPr="0035124C" w:rsidRDefault="0035124C" w:rsidP="0058344F">
      <w:pPr>
        <w:spacing w:line="259" w:lineRule="auto"/>
        <w:jc w:val="both"/>
        <w:rPr>
          <w:rFonts w:asciiTheme="minorHAnsi" w:hAnsiTheme="minorHAnsi" w:cstheme="minorHAnsi"/>
          <w:lang w:val="pl-PL"/>
        </w:rPr>
      </w:pPr>
      <w:r w:rsidRPr="007D28B2">
        <w:rPr>
          <w:rFonts w:asciiTheme="minorHAnsi" w:hAnsiTheme="minorHAnsi" w:cstheme="minorHAnsi"/>
          <w:b/>
          <w:color w:val="000000"/>
          <w:lang w:val="pl-PL"/>
        </w:rPr>
        <w:t>Art.  43e.  [Obniżenie ceny; odstąpienie od umowy]</w:t>
      </w:r>
    </w:p>
    <w:p w14:paraId="01089E97" w14:textId="77777777" w:rsidR="0035124C" w:rsidRPr="007D28B2" w:rsidRDefault="0035124C" w:rsidP="0058344F">
      <w:pPr>
        <w:pStyle w:val="Akapitzlist"/>
        <w:numPr>
          <w:ilvl w:val="0"/>
          <w:numId w:val="12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Jeżeli towar jest niezgodny z umową, konsument może złożyć oświadczenie o obniżeniu ceny albo odstąpieniu od umowy, gdy:</w:t>
      </w:r>
    </w:p>
    <w:p w14:paraId="42B8B4A3" w14:textId="77777777" w:rsidR="0035124C" w:rsidRPr="007D28B2" w:rsidRDefault="0035124C" w:rsidP="0058344F">
      <w:pPr>
        <w:pStyle w:val="Akapitzlist"/>
        <w:numPr>
          <w:ilvl w:val="0"/>
          <w:numId w:val="13"/>
        </w:numPr>
        <w:spacing w:before="26" w:after="0"/>
        <w:ind w:left="567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odmówił doprowadzenia towaru do zgodności z umową zgodnie z art. 43d ust. 2;</w:t>
      </w:r>
    </w:p>
    <w:p w14:paraId="42F6AA61" w14:textId="77777777" w:rsidR="0035124C" w:rsidRPr="007D28B2" w:rsidRDefault="0035124C" w:rsidP="0058344F">
      <w:pPr>
        <w:pStyle w:val="Akapitzlist"/>
        <w:numPr>
          <w:ilvl w:val="0"/>
          <w:numId w:val="13"/>
        </w:numPr>
        <w:spacing w:before="26" w:after="0"/>
        <w:ind w:left="567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nie doprowadził towaru do zgodności z umową zgodnie z art. 43d ust. 4-6;</w:t>
      </w:r>
    </w:p>
    <w:p w14:paraId="0BF33664" w14:textId="77777777" w:rsidR="0035124C" w:rsidRPr="007D28B2" w:rsidRDefault="0035124C" w:rsidP="0058344F">
      <w:pPr>
        <w:pStyle w:val="Akapitzlist"/>
        <w:numPr>
          <w:ilvl w:val="0"/>
          <w:numId w:val="13"/>
        </w:numPr>
        <w:spacing w:before="26" w:after="0"/>
        <w:ind w:left="567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brak zgodności towaru z umową występuje nadal, mimo że przedsiębiorca próbował doprowadzić towar do zgodności z umową;</w:t>
      </w:r>
    </w:p>
    <w:p w14:paraId="0C7A4411" w14:textId="77777777" w:rsidR="0035124C" w:rsidRPr="007D28B2" w:rsidRDefault="0035124C" w:rsidP="0058344F">
      <w:pPr>
        <w:pStyle w:val="Akapitzlist"/>
        <w:numPr>
          <w:ilvl w:val="0"/>
          <w:numId w:val="13"/>
        </w:numPr>
        <w:spacing w:before="26" w:after="0"/>
        <w:ind w:left="567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brak zgodności towaru z umową jest na tyle istotny, że uzasadnia obniżenie ceny albo odstąpienie od umowy bez uprzedniego skorzystania ze środków ochrony określonych w art. 43d;</w:t>
      </w:r>
    </w:p>
    <w:p w14:paraId="4991FA52" w14:textId="77777777" w:rsidR="0035124C" w:rsidRPr="007D28B2" w:rsidRDefault="0035124C" w:rsidP="0058344F">
      <w:pPr>
        <w:pStyle w:val="Akapitzlist"/>
        <w:numPr>
          <w:ilvl w:val="0"/>
          <w:numId w:val="13"/>
        </w:numPr>
        <w:spacing w:before="26" w:after="0"/>
        <w:ind w:left="567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z oświadczenia przedsiębiorcy lub okoliczności wyraźnie wynika, że nie doprowadzi on towaru do zgodności z umową w rozsądnym czasie lub bez nadmiernych niedogodności dla konsumenta.</w:t>
      </w:r>
    </w:p>
    <w:p w14:paraId="003CF3D6" w14:textId="77777777" w:rsidR="0035124C" w:rsidRPr="007D28B2" w:rsidRDefault="0035124C" w:rsidP="0058344F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Obniżona cena musi pozostawać w takiej proporcji do ceny wynikającej z umowy, w jakiej wartość towaru niezgodnego z umową pozostaje do wartości towaru zgodnego z umową.</w:t>
      </w:r>
    </w:p>
    <w:p w14:paraId="3D62F644" w14:textId="77777777" w:rsidR="0035124C" w:rsidRPr="007D28B2" w:rsidRDefault="0035124C" w:rsidP="0058344F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zwraca konsumentowi kwoty należne wskutek skorzystania z prawa obniżenia ceny niezwłocznie, nie później niż w terminie 14 dni od dnia otrzymania oświadczenia konsumenta o obniżeniu ceny.</w:t>
      </w:r>
    </w:p>
    <w:p w14:paraId="188E57EA" w14:textId="77777777" w:rsidR="0035124C" w:rsidRPr="007D28B2" w:rsidRDefault="0035124C" w:rsidP="0058344F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Konsument nie może odstąpić od umowy, jeżeli brak zgodności towaru z umową jest nieistotny. Domniemywa się, że brak zgodności towaru z umową jest istotny.</w:t>
      </w:r>
    </w:p>
    <w:p w14:paraId="27CF5944" w14:textId="587C6E50" w:rsidR="0035124C" w:rsidRPr="007D28B2" w:rsidRDefault="0035124C" w:rsidP="0058344F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Jeżeli brak zgodności z umową dotyczy jedynie niektórych towarów dostarczonych na podstawie umowy konsument może odstąpić od umowy jedynie w odniesieniu do tych towarów, a także w odniesieniu do innych towarów nabytych przez konsumenta wraz z towarami niezgodnymi z</w:t>
      </w:r>
      <w:r w:rsidR="0058344F">
        <w:rPr>
          <w:rFonts w:cstheme="minorHAnsi"/>
          <w:color w:val="000000"/>
          <w:szCs w:val="24"/>
        </w:rPr>
        <w:t> </w:t>
      </w:r>
      <w:r w:rsidRPr="007D28B2">
        <w:rPr>
          <w:rFonts w:cstheme="minorHAnsi"/>
          <w:color w:val="000000"/>
          <w:szCs w:val="24"/>
        </w:rPr>
        <w:t>umową, jeżeli nie można rozsądnie oczekiwać, aby konsument zgodził się zatrzymać wyłącznie towary zgodne z umową.</w:t>
      </w:r>
    </w:p>
    <w:p w14:paraId="58A05474" w14:textId="77777777" w:rsidR="0035124C" w:rsidRPr="007D28B2" w:rsidRDefault="0035124C" w:rsidP="0058344F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W razie odstąpienia od umowy konsument niezwłocznie zwraca towar przedsiębiorcy na jego koszt. Przedsiębiorca zwraca konsumentowi cenę niezwłocznie, nie później niż w terminie 14 dni od dnia otrzymania towaru lub dowodu jego odesłania.</w:t>
      </w:r>
    </w:p>
    <w:p w14:paraId="5E49F904" w14:textId="45F51858" w:rsidR="00317D31" w:rsidRPr="0058344F" w:rsidRDefault="0035124C" w:rsidP="00D202B8">
      <w:pPr>
        <w:pStyle w:val="Akapitzlist"/>
        <w:numPr>
          <w:ilvl w:val="0"/>
          <w:numId w:val="14"/>
        </w:numPr>
        <w:spacing w:before="26" w:after="0"/>
        <w:ind w:left="426"/>
        <w:jc w:val="both"/>
        <w:rPr>
          <w:rFonts w:cstheme="minorHAnsi"/>
          <w:szCs w:val="24"/>
        </w:rPr>
      </w:pPr>
      <w:r w:rsidRPr="007D28B2">
        <w:rPr>
          <w:rFonts w:cstheme="minorHAnsi"/>
          <w:color w:val="000000"/>
          <w:szCs w:val="24"/>
        </w:rPr>
        <w:t>Przedsiębiorca dokonuje zwrotu ceny przy użyciu takiego samego sposobu zapłaty, jakiego użył konsument, chyba że konsument wyraźnie zgodził się na inny sposób zwrotu, który nie wiąże się dla niego z żadnymi kosztami.</w:t>
      </w:r>
    </w:p>
    <w:sectPr w:rsidR="00317D31" w:rsidRPr="0058344F" w:rsidSect="00447C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F463" w14:textId="77777777" w:rsidR="00557689" w:rsidRDefault="00557689" w:rsidP="00317D31">
      <w:r>
        <w:separator/>
      </w:r>
    </w:p>
  </w:endnote>
  <w:endnote w:type="continuationSeparator" w:id="0">
    <w:p w14:paraId="012457EB" w14:textId="77777777" w:rsidR="00557689" w:rsidRDefault="00557689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F3F3" w14:textId="77777777" w:rsidR="003E7B9F" w:rsidRDefault="003E7B9F">
    <w:pPr>
      <w:pStyle w:val="Stopka"/>
    </w:pPr>
    <w:r>
      <w:rPr>
        <w:noProof/>
        <w:lang w:val="pl-PL" w:eastAsia="pl-PL"/>
      </w:rPr>
      <w:drawing>
        <wp:inline distT="0" distB="0" distL="0" distR="0" wp14:anchorId="5BF7F7C2" wp14:editId="52E8C237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466F91AB" wp14:editId="41343738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B068BC">
      <w:rPr>
        <w:noProof/>
        <w:lang w:val="pl-PL" w:eastAsia="pl-PL"/>
      </w:rPr>
      <w:drawing>
        <wp:inline distT="0" distB="0" distL="0" distR="0" wp14:anchorId="0B3740FB" wp14:editId="61C4844B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DF8E" w14:textId="77777777" w:rsidR="00557689" w:rsidRDefault="00557689" w:rsidP="00317D31">
      <w:r>
        <w:separator/>
      </w:r>
    </w:p>
  </w:footnote>
  <w:footnote w:type="continuationSeparator" w:id="0">
    <w:p w14:paraId="31B92780" w14:textId="77777777" w:rsidR="00557689" w:rsidRDefault="00557689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F494C" w14:textId="77777777" w:rsidR="003E7B9F" w:rsidRPr="000B1037" w:rsidRDefault="003E7B9F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6AF1F348" wp14:editId="5F0EF5C9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="00A13080"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 w:rsidR="00A13080"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14:paraId="6BBBC299" w14:textId="77777777" w:rsidR="003E7B9F" w:rsidRPr="000B1037" w:rsidRDefault="003E7B9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73DEE"/>
    <w:multiLevelType w:val="hybridMultilevel"/>
    <w:tmpl w:val="02EC79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F6908"/>
    <w:multiLevelType w:val="hybridMultilevel"/>
    <w:tmpl w:val="65C48B82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3" w15:restartNumberingAfterBreak="0">
    <w:nsid w:val="29666E62"/>
    <w:multiLevelType w:val="hybridMultilevel"/>
    <w:tmpl w:val="DA081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A3226"/>
    <w:multiLevelType w:val="hybridMultilevel"/>
    <w:tmpl w:val="0B2044BA"/>
    <w:lvl w:ilvl="0" w:tplc="FFFFFFFF">
      <w:start w:val="1"/>
      <w:numFmt w:val="decimal"/>
      <w:lvlText w:val="%1)"/>
      <w:lvlJc w:val="left"/>
      <w:pPr>
        <w:ind w:left="1813" w:hanging="360"/>
      </w:pPr>
      <w:rPr>
        <w:sz w:val="24"/>
        <w:szCs w:val="24"/>
      </w:rPr>
    </w:lvl>
    <w:lvl w:ilvl="1" w:tplc="FCF0113A">
      <w:start w:val="1"/>
      <w:numFmt w:val="decimal"/>
      <w:lvlText w:val="%2."/>
      <w:lvlJc w:val="left"/>
      <w:pPr>
        <w:ind w:left="2533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7" w15:restartNumberingAfterBreak="0">
    <w:nsid w:val="4E474B93"/>
    <w:multiLevelType w:val="hybridMultilevel"/>
    <w:tmpl w:val="38A6981E"/>
    <w:lvl w:ilvl="0" w:tplc="FFFFFFFF">
      <w:start w:val="1"/>
      <w:numFmt w:val="decimal"/>
      <w:lvlText w:val="%1)"/>
      <w:lvlJc w:val="left"/>
      <w:pPr>
        <w:ind w:left="181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" w15:restartNumberingAfterBreak="0">
    <w:nsid w:val="4F1A6B82"/>
    <w:multiLevelType w:val="hybridMultilevel"/>
    <w:tmpl w:val="6862D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E7926"/>
    <w:multiLevelType w:val="hybridMultilevel"/>
    <w:tmpl w:val="057E1EC2"/>
    <w:lvl w:ilvl="0" w:tplc="FFFFFFFF">
      <w:start w:val="1"/>
      <w:numFmt w:val="decimal"/>
      <w:lvlText w:val="%1)"/>
      <w:lvlJc w:val="left"/>
      <w:pPr>
        <w:ind w:left="181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10" w15:restartNumberingAfterBreak="0">
    <w:nsid w:val="69EB2E87"/>
    <w:multiLevelType w:val="hybridMultilevel"/>
    <w:tmpl w:val="EB5EF8D6"/>
    <w:lvl w:ilvl="0" w:tplc="19AC1B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9679C"/>
    <w:multiLevelType w:val="hybridMultilevel"/>
    <w:tmpl w:val="3DD440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80400A"/>
    <w:multiLevelType w:val="hybridMultilevel"/>
    <w:tmpl w:val="5AE8E7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94DC4EBC">
      <w:start w:val="1"/>
      <w:numFmt w:val="decimal"/>
      <w:lvlText w:val="%2)"/>
      <w:lvlJc w:val="left"/>
      <w:pPr>
        <w:ind w:left="1506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42915B7"/>
    <w:multiLevelType w:val="hybridMultilevel"/>
    <w:tmpl w:val="D7E615A8"/>
    <w:lvl w:ilvl="0" w:tplc="FFFFFFFF">
      <w:start w:val="1"/>
      <w:numFmt w:val="decimal"/>
      <w:lvlText w:val="%1)"/>
      <w:lvlJc w:val="left"/>
      <w:pPr>
        <w:ind w:left="1813" w:hanging="360"/>
      </w:pPr>
      <w:rPr>
        <w:sz w:val="24"/>
        <w:szCs w:val="24"/>
      </w:rPr>
    </w:lvl>
    <w:lvl w:ilvl="1" w:tplc="D376D72C">
      <w:start w:val="1"/>
      <w:numFmt w:val="lowerLetter"/>
      <w:lvlText w:val="%2)"/>
      <w:lvlJc w:val="left"/>
      <w:pPr>
        <w:ind w:left="2533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num w:numId="1" w16cid:durableId="1775511371">
    <w:abstractNumId w:val="5"/>
  </w:num>
  <w:num w:numId="2" w16cid:durableId="235896623">
    <w:abstractNumId w:val="4"/>
  </w:num>
  <w:num w:numId="3" w16cid:durableId="2102138054">
    <w:abstractNumId w:val="1"/>
  </w:num>
  <w:num w:numId="4" w16cid:durableId="1634745841">
    <w:abstractNumId w:val="10"/>
  </w:num>
  <w:num w:numId="5" w16cid:durableId="564032157">
    <w:abstractNumId w:val="7"/>
  </w:num>
  <w:num w:numId="6" w16cid:durableId="1777358953">
    <w:abstractNumId w:val="13"/>
  </w:num>
  <w:num w:numId="7" w16cid:durableId="369035491">
    <w:abstractNumId w:val="2"/>
  </w:num>
  <w:num w:numId="8" w16cid:durableId="2124572868">
    <w:abstractNumId w:val="12"/>
  </w:num>
  <w:num w:numId="9" w16cid:durableId="1332493040">
    <w:abstractNumId w:val="6"/>
  </w:num>
  <w:num w:numId="10" w16cid:durableId="1563246413">
    <w:abstractNumId w:val="3"/>
  </w:num>
  <w:num w:numId="11" w16cid:durableId="1052190641">
    <w:abstractNumId w:val="11"/>
  </w:num>
  <w:num w:numId="12" w16cid:durableId="1498880448">
    <w:abstractNumId w:val="0"/>
  </w:num>
  <w:num w:numId="13" w16cid:durableId="1616667493">
    <w:abstractNumId w:val="9"/>
  </w:num>
  <w:num w:numId="14" w16cid:durableId="20731135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8E7"/>
    <w:rsid w:val="00061889"/>
    <w:rsid w:val="000619B5"/>
    <w:rsid w:val="000648E7"/>
    <w:rsid w:val="000B1037"/>
    <w:rsid w:val="00104AF4"/>
    <w:rsid w:val="001247C6"/>
    <w:rsid w:val="0013249C"/>
    <w:rsid w:val="001C2DE6"/>
    <w:rsid w:val="001E4141"/>
    <w:rsid w:val="002144FB"/>
    <w:rsid w:val="00284B4C"/>
    <w:rsid w:val="0028752B"/>
    <w:rsid w:val="002B5A1A"/>
    <w:rsid w:val="002C7188"/>
    <w:rsid w:val="00317D31"/>
    <w:rsid w:val="0035124C"/>
    <w:rsid w:val="00386E2A"/>
    <w:rsid w:val="003A4150"/>
    <w:rsid w:val="003C6B59"/>
    <w:rsid w:val="003E7B9F"/>
    <w:rsid w:val="003F5849"/>
    <w:rsid w:val="0042743B"/>
    <w:rsid w:val="00427853"/>
    <w:rsid w:val="00431096"/>
    <w:rsid w:val="00447CA1"/>
    <w:rsid w:val="00460304"/>
    <w:rsid w:val="00487DEA"/>
    <w:rsid w:val="004B592A"/>
    <w:rsid w:val="0055633A"/>
    <w:rsid w:val="00557689"/>
    <w:rsid w:val="0058344F"/>
    <w:rsid w:val="005A0049"/>
    <w:rsid w:val="00605D43"/>
    <w:rsid w:val="00607959"/>
    <w:rsid w:val="0061228B"/>
    <w:rsid w:val="006467F4"/>
    <w:rsid w:val="00647B54"/>
    <w:rsid w:val="00651665"/>
    <w:rsid w:val="006947DA"/>
    <w:rsid w:val="007334AD"/>
    <w:rsid w:val="00785783"/>
    <w:rsid w:val="007B576F"/>
    <w:rsid w:val="0081197B"/>
    <w:rsid w:val="00852791"/>
    <w:rsid w:val="0087616B"/>
    <w:rsid w:val="009223EC"/>
    <w:rsid w:val="009633C2"/>
    <w:rsid w:val="00977E95"/>
    <w:rsid w:val="00996C0D"/>
    <w:rsid w:val="00A116A4"/>
    <w:rsid w:val="00A13080"/>
    <w:rsid w:val="00AB6135"/>
    <w:rsid w:val="00AC7AC4"/>
    <w:rsid w:val="00B068BC"/>
    <w:rsid w:val="00B365C2"/>
    <w:rsid w:val="00B50A7B"/>
    <w:rsid w:val="00BC6AC1"/>
    <w:rsid w:val="00BD3D6A"/>
    <w:rsid w:val="00BE4C20"/>
    <w:rsid w:val="00C61B10"/>
    <w:rsid w:val="00D202B8"/>
    <w:rsid w:val="00D64B8D"/>
    <w:rsid w:val="00DA3632"/>
    <w:rsid w:val="00E858E0"/>
    <w:rsid w:val="00E92087"/>
    <w:rsid w:val="00E920ED"/>
    <w:rsid w:val="00EB2C8E"/>
    <w:rsid w:val="00EC63B0"/>
    <w:rsid w:val="00ED4932"/>
    <w:rsid w:val="00EF709A"/>
    <w:rsid w:val="00F37DA7"/>
    <w:rsid w:val="00FA3419"/>
    <w:rsid w:val="00F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BA69B"/>
  <w15:docId w15:val="{76E5DE2E-9A22-C349-B1B2-88081266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zemyslawstala/Downloads/Za&#322;a&#808;cznik%20do%20scenariusz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11E0-21F8-40C7-AA83-4C118B8C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Załącznik do scenariusza.dotx</Template>
  <TotalTime>0</TotalTime>
  <Pages>6</Pages>
  <Words>1642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Stala</dc:creator>
  <cp:lastModifiedBy>Katarzyna Stawiarska</cp:lastModifiedBy>
  <cp:revision>2</cp:revision>
  <dcterms:created xsi:type="dcterms:W3CDTF">2023-12-11T20:45:00Z</dcterms:created>
  <dcterms:modified xsi:type="dcterms:W3CDTF">2023-12-11T20:45:00Z</dcterms:modified>
</cp:coreProperties>
</file>