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12" w:rsidRPr="00B328EB" w:rsidRDefault="005B318D" w:rsidP="00B328EB">
      <w:pPr>
        <w:spacing w:before="240" w:after="24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Bayesowski M</w:t>
      </w:r>
      <w:r w:rsidR="00D27A12" w:rsidRPr="00B328EB">
        <w:rPr>
          <w:b/>
          <w:sz w:val="28"/>
          <w:szCs w:val="28"/>
          <w:u w:val="double"/>
        </w:rPr>
        <w:t xml:space="preserve">odel </w:t>
      </w:r>
      <w:r>
        <w:rPr>
          <w:b/>
          <w:sz w:val="28"/>
          <w:szCs w:val="28"/>
          <w:u w:val="double"/>
        </w:rPr>
        <w:t>N</w:t>
      </w:r>
      <w:r w:rsidR="00D27A12" w:rsidRPr="00B328EB">
        <w:rPr>
          <w:b/>
          <w:sz w:val="28"/>
          <w:szCs w:val="28"/>
          <w:u w:val="double"/>
        </w:rPr>
        <w:t xml:space="preserve">ormalnej </w:t>
      </w:r>
      <w:r>
        <w:rPr>
          <w:b/>
          <w:sz w:val="28"/>
          <w:szCs w:val="28"/>
          <w:u w:val="double"/>
        </w:rPr>
        <w:t>R</w:t>
      </w:r>
      <w:r w:rsidR="00D27A12" w:rsidRPr="00B328EB">
        <w:rPr>
          <w:b/>
          <w:sz w:val="28"/>
          <w:szCs w:val="28"/>
          <w:u w:val="double"/>
        </w:rPr>
        <w:t xml:space="preserve">egresji </w:t>
      </w:r>
      <w:r>
        <w:rPr>
          <w:b/>
          <w:sz w:val="28"/>
          <w:szCs w:val="28"/>
          <w:u w:val="double"/>
        </w:rPr>
        <w:t>L</w:t>
      </w:r>
      <w:r w:rsidR="00D27A12" w:rsidRPr="00B328EB">
        <w:rPr>
          <w:b/>
          <w:sz w:val="28"/>
          <w:szCs w:val="28"/>
          <w:u w:val="double"/>
        </w:rPr>
        <w:t>iniowej – ćwiczenie</w:t>
      </w:r>
    </w:p>
    <w:p w:rsidR="00D27A12" w:rsidRPr="00FE604D" w:rsidRDefault="00017557" w:rsidP="005311B6">
      <w:pPr>
        <w:pStyle w:val="Akapitzlist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FE604D">
        <w:rPr>
          <w:sz w:val="24"/>
          <w:szCs w:val="24"/>
        </w:rPr>
        <w:t xml:space="preserve">Zapoznaj się z danymi zestawionymi w pliku </w:t>
      </w:r>
      <w:r w:rsidRPr="00FE604D">
        <w:rPr>
          <w:i/>
          <w:sz w:val="24"/>
          <w:szCs w:val="24"/>
        </w:rPr>
        <w:t>Wyplaty_gotowki.xlsx</w:t>
      </w:r>
    </w:p>
    <w:p w:rsidR="00017557" w:rsidRPr="00FE604D" w:rsidRDefault="00017557" w:rsidP="005311B6">
      <w:pPr>
        <w:pStyle w:val="Akapitzlist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FE604D">
        <w:rPr>
          <w:sz w:val="24"/>
          <w:szCs w:val="24"/>
        </w:rPr>
        <w:t xml:space="preserve">Niech narzędziem modelowania zależności pomiędzy wartością wypłat gotówki w bankomatach </w:t>
      </w:r>
      <w:r w:rsidR="00BB7783">
        <w:rPr>
          <w:sz w:val="24"/>
          <w:szCs w:val="24"/>
        </w:rPr>
        <w:t>w P</w:t>
      </w:r>
      <w:r w:rsidR="00EE6BEB">
        <w:rPr>
          <w:sz w:val="24"/>
          <w:szCs w:val="24"/>
        </w:rPr>
        <w:t>olsce a </w:t>
      </w:r>
      <w:r w:rsidRPr="00FE604D">
        <w:rPr>
          <w:sz w:val="24"/>
          <w:szCs w:val="24"/>
        </w:rPr>
        <w:t>liczbą bankomatów raz wydanych kart płatniczych będzie model regresji postaci:</w:t>
      </w:r>
    </w:p>
    <w:p w:rsidR="00017557" w:rsidRPr="00FE604D" w:rsidRDefault="005502F1" w:rsidP="005311B6">
      <w:pPr>
        <w:pStyle w:val="Akapitzlist"/>
        <w:spacing w:after="120"/>
        <w:contextualSpacing w:val="0"/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t+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ti</m:t>
                </m:r>
              </m:sub>
            </m:sSub>
          </m:e>
        </m:nary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</m:oMath>
      <w:r w:rsidR="00017557" w:rsidRPr="00FE604D">
        <w:rPr>
          <w:rFonts w:eastAsiaTheme="minorEastAsia"/>
          <w:sz w:val="24"/>
          <w:szCs w:val="24"/>
        </w:rPr>
        <w:t>,</w:t>
      </w:r>
      <w:r w:rsidR="00017557" w:rsidRPr="00FE604D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~iiN(0,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017557" w:rsidRPr="00FE604D">
        <w:rPr>
          <w:rFonts w:eastAsiaTheme="minorEastAsia"/>
          <w:sz w:val="24"/>
          <w:szCs w:val="24"/>
        </w:rPr>
        <w:t>,</w:t>
      </w:r>
    </w:p>
    <w:p w:rsidR="00D36F12" w:rsidRDefault="00017557" w:rsidP="005311B6">
      <w:pPr>
        <w:spacing w:after="120"/>
        <w:ind w:left="708"/>
        <w:rPr>
          <w:rFonts w:eastAsiaTheme="minorEastAsia"/>
          <w:sz w:val="24"/>
          <w:szCs w:val="24"/>
        </w:rPr>
      </w:pPr>
      <w:r w:rsidRPr="00FE604D">
        <w:rPr>
          <w:sz w:val="24"/>
          <w:szCs w:val="24"/>
        </w:rPr>
        <w:t xml:space="preserve">gdzie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(i=2, 3, 4)</m:t>
        </m:r>
      </m:oMath>
      <w:r w:rsidR="00946D61" w:rsidRPr="00FE604D">
        <w:rPr>
          <w:rFonts w:eastAsiaTheme="minorEastAsia"/>
          <w:sz w:val="24"/>
          <w:szCs w:val="24"/>
        </w:rPr>
        <w:t xml:space="preserve"> reprezentują zero-jedynkowe zmienne sezonowe odpowiadające kwartałom II</w:t>
      </w:r>
      <w:r w:rsidR="004051C6" w:rsidRPr="00FE604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(i=2)</m:t>
        </m:r>
      </m:oMath>
      <w:r w:rsidR="00946D61" w:rsidRPr="00FE604D">
        <w:rPr>
          <w:rFonts w:eastAsiaTheme="minorEastAsia"/>
          <w:sz w:val="24"/>
          <w:szCs w:val="24"/>
        </w:rPr>
        <w:t>, III</w:t>
      </w:r>
      <w:r w:rsidR="004051C6" w:rsidRPr="00FE604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(i=3)</m:t>
        </m:r>
      </m:oMath>
      <w:r w:rsidR="00946D61" w:rsidRPr="00FE604D">
        <w:rPr>
          <w:rFonts w:eastAsiaTheme="minorEastAsia"/>
          <w:sz w:val="24"/>
          <w:szCs w:val="24"/>
        </w:rPr>
        <w:t xml:space="preserve"> i IV</w:t>
      </w:r>
      <w:r w:rsidR="004051C6" w:rsidRPr="00FE604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(i=4)</m:t>
        </m:r>
      </m:oMath>
      <w:r w:rsidR="00946D61" w:rsidRPr="00FE604D">
        <w:rPr>
          <w:rFonts w:eastAsiaTheme="minorEastAsia"/>
          <w:sz w:val="24"/>
          <w:szCs w:val="24"/>
        </w:rPr>
        <w:t>.</w:t>
      </w:r>
      <w:r w:rsidR="008A44F2" w:rsidRPr="00FE604D">
        <w:rPr>
          <w:rFonts w:eastAsiaTheme="minorEastAsia"/>
          <w:sz w:val="24"/>
          <w:szCs w:val="24"/>
        </w:rPr>
        <w:t xml:space="preserve"> </w:t>
      </w:r>
      <w:r w:rsidR="00D36F12" w:rsidRPr="00FE604D">
        <w:rPr>
          <w:rFonts w:eastAsiaTheme="minorEastAsia"/>
          <w:sz w:val="24"/>
          <w:szCs w:val="24"/>
        </w:rPr>
        <w:t xml:space="preserve">Zbuduj stosowne macierze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D36F12" w:rsidRPr="00FE604D">
        <w:rPr>
          <w:rFonts w:eastAsiaTheme="minorEastAsia"/>
          <w:sz w:val="24"/>
          <w:szCs w:val="24"/>
        </w:rPr>
        <w:t xml:space="preserve"> oraz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D36F12" w:rsidRPr="00FE604D">
        <w:rPr>
          <w:rFonts w:eastAsiaTheme="minorEastAsia"/>
          <w:sz w:val="24"/>
          <w:szCs w:val="24"/>
        </w:rPr>
        <w:t xml:space="preserve">, </w:t>
      </w:r>
      <w:r w:rsidR="00590E32" w:rsidRPr="00FE604D">
        <w:rPr>
          <w:rFonts w:eastAsiaTheme="minorEastAsia"/>
          <w:sz w:val="24"/>
          <w:szCs w:val="24"/>
        </w:rPr>
        <w:t xml:space="preserve">odpowiadające </w:t>
      </w:r>
      <w:r w:rsidR="00D36F12" w:rsidRPr="00FE604D">
        <w:rPr>
          <w:rFonts w:eastAsiaTheme="minorEastAsia"/>
          <w:sz w:val="24"/>
          <w:szCs w:val="24"/>
        </w:rPr>
        <w:t>macierzowemu zapisowi tego modelu</w:t>
      </w:r>
      <w:r w:rsidR="002274DD" w:rsidRPr="00FE604D">
        <w:rPr>
          <w:rFonts w:eastAsiaTheme="minorEastAsia"/>
          <w:sz w:val="24"/>
          <w:szCs w:val="24"/>
        </w:rPr>
        <w:t>:</w:t>
      </w:r>
      <w:r w:rsidR="00FE604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y=Xβ+ε</m:t>
        </m:r>
      </m:oMath>
    </w:p>
    <w:p w:rsidR="008078F3" w:rsidRPr="000C00CE" w:rsidRDefault="00E04485" w:rsidP="000C00CE">
      <w:pPr>
        <w:spacing w:after="120"/>
        <w:ind w:left="708"/>
        <w:rPr>
          <w:sz w:val="24"/>
          <w:szCs w:val="24"/>
        </w:rPr>
      </w:pPr>
      <w:r w:rsidRPr="000C00CE">
        <w:rPr>
          <w:rFonts w:eastAsiaTheme="minorEastAsia"/>
          <w:sz w:val="24"/>
          <w:szCs w:val="24"/>
        </w:rPr>
        <w:t>Dla powyższego modelu p</w:t>
      </w:r>
      <w:r w:rsidR="008A44F2" w:rsidRPr="000C00CE">
        <w:rPr>
          <w:rFonts w:eastAsiaTheme="minorEastAsia"/>
          <w:sz w:val="24"/>
          <w:szCs w:val="24"/>
        </w:rPr>
        <w:t xml:space="preserve">rzeprowadź estymację </w:t>
      </w:r>
      <w:r w:rsidR="008341D1" w:rsidRPr="000C00CE">
        <w:rPr>
          <w:rFonts w:eastAsiaTheme="minorEastAsia"/>
          <w:sz w:val="24"/>
          <w:szCs w:val="24"/>
        </w:rPr>
        <w:t>bayesowską p</w:t>
      </w:r>
      <w:r w:rsidR="005E6738" w:rsidRPr="000C00CE">
        <w:rPr>
          <w:sz w:val="24"/>
          <w:szCs w:val="24"/>
        </w:rPr>
        <w:t xml:space="preserve">rzyjmując gamma-normalny rozkład </w:t>
      </w:r>
      <w:r w:rsidR="008341D1" w:rsidRPr="000C00CE">
        <w:rPr>
          <w:i/>
          <w:sz w:val="24"/>
          <w:szCs w:val="24"/>
        </w:rPr>
        <w:t>a </w:t>
      </w:r>
      <w:r w:rsidR="005E6738" w:rsidRPr="000C00CE">
        <w:rPr>
          <w:i/>
          <w:sz w:val="24"/>
          <w:szCs w:val="24"/>
        </w:rPr>
        <w:t>priori</w:t>
      </w:r>
      <w:r w:rsidR="000C00CE">
        <w:rPr>
          <w:sz w:val="24"/>
          <w:szCs w:val="24"/>
        </w:rPr>
        <w:t xml:space="preserve"> z </w:t>
      </w:r>
      <w:r w:rsidR="005E6738" w:rsidRPr="000C00CE">
        <w:rPr>
          <w:sz w:val="24"/>
          <w:szCs w:val="24"/>
        </w:rPr>
        <w:t xml:space="preserve">zależnością pomiędzy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="005E6738" w:rsidRPr="000C00CE">
        <w:rPr>
          <w:rFonts w:eastAsiaTheme="minorEastAsia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/>
            <w:sz w:val="24"/>
            <w:szCs w:val="24"/>
          </w:rPr>
          <m:t>τ</m:t>
        </m:r>
      </m:oMath>
      <w:r w:rsidR="005E6738" w:rsidRPr="000C00CE">
        <w:rPr>
          <w:rFonts w:eastAsiaTheme="minorEastAsia"/>
          <w:sz w:val="24"/>
          <w:szCs w:val="24"/>
        </w:rPr>
        <w:t xml:space="preserve">, </w:t>
      </w:r>
      <w:r w:rsidR="00E660FF" w:rsidRPr="000C00CE">
        <w:rPr>
          <w:rFonts w:eastAsiaTheme="minorEastAsia"/>
          <w:sz w:val="24"/>
          <w:szCs w:val="24"/>
        </w:rPr>
        <w:t>przy założeniu</w:t>
      </w:r>
      <w:r w:rsidR="005E6738" w:rsidRPr="000C00CE">
        <w:rPr>
          <w:rFonts w:eastAsiaTheme="minorEastAsia"/>
          <w:sz w:val="24"/>
          <w:szCs w:val="24"/>
        </w:rPr>
        <w:t>, że</w:t>
      </w:r>
      <w:r w:rsidR="008078F3" w:rsidRPr="000C00CE">
        <w:rPr>
          <w:rFonts w:eastAsiaTheme="minorEastAsia"/>
          <w:sz w:val="24"/>
          <w:szCs w:val="24"/>
        </w:rPr>
        <w:t>:</w:t>
      </w:r>
    </w:p>
    <w:p w:rsidR="005E6738" w:rsidRPr="00FE604D" w:rsidRDefault="002C6BD7" w:rsidP="00B56DD3">
      <w:pPr>
        <w:pStyle w:val="Akapitzlist"/>
        <w:numPr>
          <w:ilvl w:val="1"/>
          <w:numId w:val="2"/>
        </w:numPr>
        <w:spacing w:after="120"/>
        <w:ind w:left="1276" w:hanging="283"/>
        <w:contextualSpacing w:val="0"/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=1, Var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τ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=0,5</m:t>
        </m:r>
      </m:oMath>
    </w:p>
    <w:p w:rsidR="008078F3" w:rsidRPr="00FE604D" w:rsidRDefault="00E660FF" w:rsidP="00B56DD3">
      <w:pPr>
        <w:pStyle w:val="Akapitzlist"/>
        <w:numPr>
          <w:ilvl w:val="1"/>
          <w:numId w:val="2"/>
        </w:numPr>
        <w:spacing w:after="120"/>
        <w:ind w:left="1276" w:hanging="283"/>
        <w:contextualSpacing w:val="0"/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(k×1)</m:t>
            </m:r>
          </m:sub>
        </m:sSub>
      </m:oMath>
      <w:r w:rsidR="008078F3" w:rsidRPr="00FE604D">
        <w:rPr>
          <w:rFonts w:eastAsiaTheme="minorEastAsia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</m:d>
        <m:r>
          <w:rPr>
            <w:rFonts w:ascii="Cambria Math" w:hAnsi="Cambria Math"/>
            <w:sz w:val="24"/>
            <w:szCs w:val="24"/>
          </w:rPr>
          <m:t>=100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="008078F3" w:rsidRPr="00FE604D">
        <w:rPr>
          <w:rFonts w:eastAsiaTheme="minorEastAsia"/>
          <w:sz w:val="24"/>
          <w:szCs w:val="24"/>
        </w:rPr>
        <w:t xml:space="preserve"> (</w:t>
      </w:r>
      <w:r w:rsidR="007B74DD">
        <w:rPr>
          <w:rFonts w:eastAsiaTheme="minorEastAsia"/>
          <w:sz w:val="24"/>
          <w:szCs w:val="24"/>
        </w:rPr>
        <w:t xml:space="preserve">zatem </w:t>
      </w:r>
      <m:oMath>
        <m:r>
          <w:rPr>
            <w:rFonts w:ascii="Cambria Math" w:eastAsiaTheme="minorEastAsia" w:hAnsi="Cambria Math"/>
            <w:sz w:val="24"/>
            <w:szCs w:val="24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=100</m:t>
        </m:r>
      </m:oMath>
      <w:r w:rsidR="008078F3" w:rsidRPr="00FE604D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i=1, 2,…, k</m:t>
        </m:r>
      </m:oMath>
      <w:r>
        <w:rPr>
          <w:rFonts w:eastAsiaTheme="minorEastAsia"/>
          <w:sz w:val="24"/>
          <w:szCs w:val="24"/>
        </w:rPr>
        <w:t xml:space="preserve">, oraz </w:t>
      </w:r>
      <m:oMath>
        <m:r>
          <w:rPr>
            <w:rFonts w:ascii="Cambria Math" w:eastAsiaTheme="minorEastAsia" w:hAnsi="Cambria Math"/>
            <w:sz w:val="24"/>
            <w:szCs w:val="24"/>
          </w:rPr>
          <m:t>Cov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i≠j</m:t>
        </m:r>
      </m:oMath>
      <w:r w:rsidR="008078F3" w:rsidRPr="00FE604D">
        <w:rPr>
          <w:rFonts w:eastAsiaTheme="minorEastAsia"/>
          <w:sz w:val="24"/>
          <w:szCs w:val="24"/>
        </w:rPr>
        <w:t>)</w:t>
      </w:r>
    </w:p>
    <w:p w:rsidR="002A7BED" w:rsidRDefault="000164B4" w:rsidP="000C00CE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Dla poszczególnych parametrów (tak strukturalnych, jak i precyzji składników losowych) wyznacz następujące </w:t>
      </w:r>
      <w:r w:rsidRPr="00654628">
        <w:rPr>
          <w:b/>
          <w:sz w:val="24"/>
          <w:szCs w:val="24"/>
        </w:rPr>
        <w:t>charakteryst</w:t>
      </w:r>
      <w:r w:rsidR="00654628" w:rsidRPr="00654628">
        <w:rPr>
          <w:b/>
          <w:sz w:val="24"/>
          <w:szCs w:val="24"/>
        </w:rPr>
        <w:t>y</w:t>
      </w:r>
      <w:r w:rsidRPr="00654628">
        <w:rPr>
          <w:b/>
          <w:sz w:val="24"/>
          <w:szCs w:val="24"/>
        </w:rPr>
        <w:t>ki</w:t>
      </w:r>
      <w:r>
        <w:rPr>
          <w:sz w:val="24"/>
          <w:szCs w:val="24"/>
        </w:rPr>
        <w:t xml:space="preserve"> (te w brzegowych rozkładach </w:t>
      </w:r>
      <w:r w:rsidRPr="000164B4">
        <w:rPr>
          <w:i/>
          <w:sz w:val="24"/>
          <w:szCs w:val="24"/>
        </w:rPr>
        <w:t>a posteriori</w:t>
      </w:r>
      <w:r>
        <w:rPr>
          <w:sz w:val="24"/>
          <w:szCs w:val="24"/>
        </w:rPr>
        <w:t xml:space="preserve"> zestaw z tymi </w:t>
      </w:r>
      <w:r w:rsidRPr="000164B4">
        <w:rPr>
          <w:i/>
          <w:sz w:val="24"/>
          <w:szCs w:val="24"/>
        </w:rPr>
        <w:t>a priori</w:t>
      </w:r>
      <w:r>
        <w:rPr>
          <w:sz w:val="24"/>
          <w:szCs w:val="24"/>
        </w:rPr>
        <w:t>):</w:t>
      </w:r>
    </w:p>
    <w:p w:rsidR="000164B4" w:rsidRDefault="000164B4" w:rsidP="000C00CE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ab/>
        <w:t>- wartoś</w:t>
      </w:r>
      <w:r w:rsidR="00654628">
        <w:rPr>
          <w:sz w:val="24"/>
          <w:szCs w:val="24"/>
        </w:rPr>
        <w:t>ci oczekiwane, mediany, modalne</w:t>
      </w:r>
    </w:p>
    <w:p w:rsidR="00654628" w:rsidRDefault="00654628" w:rsidP="000C00CE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ab/>
        <w:t>- odchylenie standardowe</w:t>
      </w:r>
    </w:p>
    <w:p w:rsidR="00654628" w:rsidRPr="00654628" w:rsidRDefault="00654628" w:rsidP="000C00CE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ab/>
        <w:t xml:space="preserve">- przedziały najwyższej gęstości </w:t>
      </w:r>
      <w:r>
        <w:rPr>
          <w:i/>
          <w:sz w:val="24"/>
          <w:szCs w:val="24"/>
        </w:rPr>
        <w:t>a posteriori</w:t>
      </w:r>
      <w:r>
        <w:rPr>
          <w:sz w:val="24"/>
          <w:szCs w:val="24"/>
        </w:rPr>
        <w:t xml:space="preserve"> (dla poziomu prawdopodobieństwa 0,95)</w:t>
      </w:r>
    </w:p>
    <w:p w:rsidR="00867AEC" w:rsidRDefault="00D66064" w:rsidP="000C00CE">
      <w:pPr>
        <w:spacing w:after="120"/>
        <w:ind w:left="709"/>
        <w:rPr>
          <w:sz w:val="24"/>
          <w:szCs w:val="24"/>
        </w:rPr>
      </w:pPr>
      <w:r w:rsidRPr="00FE604D">
        <w:rPr>
          <w:sz w:val="24"/>
          <w:szCs w:val="24"/>
        </w:rPr>
        <w:t xml:space="preserve">Dodatkowo, dla parametru </w:t>
      </w:r>
      <w:r w:rsidR="00244A33">
        <w:rPr>
          <w:sz w:val="24"/>
          <w:szCs w:val="24"/>
        </w:rPr>
        <w:t xml:space="preserve">odzwierciedlającego związek pomiędzy liczbą bankomatów w wartością wypłat gotówkowych </w:t>
      </w:r>
      <w:r w:rsidR="005F6A3E">
        <w:rPr>
          <w:sz w:val="24"/>
          <w:szCs w:val="24"/>
        </w:rPr>
        <w:t xml:space="preserve">(i tylko dla niego) </w:t>
      </w:r>
      <w:r w:rsidRPr="00FB0087">
        <w:rPr>
          <w:b/>
          <w:sz w:val="24"/>
          <w:szCs w:val="24"/>
        </w:rPr>
        <w:t>skonstruuj wykres</w:t>
      </w:r>
      <w:r w:rsidRPr="00FE604D">
        <w:rPr>
          <w:sz w:val="24"/>
          <w:szCs w:val="24"/>
        </w:rPr>
        <w:t xml:space="preserve"> przedstawiający</w:t>
      </w:r>
      <w:r w:rsidR="00867AEC">
        <w:rPr>
          <w:sz w:val="24"/>
          <w:szCs w:val="24"/>
        </w:rPr>
        <w:t xml:space="preserve"> gęstości rozkładów</w:t>
      </w:r>
      <w:r w:rsidRPr="00867AEC">
        <w:rPr>
          <w:sz w:val="24"/>
          <w:szCs w:val="24"/>
        </w:rPr>
        <w:t xml:space="preserve"> </w:t>
      </w:r>
      <w:r w:rsidR="002545E9">
        <w:rPr>
          <w:i/>
          <w:sz w:val="24"/>
          <w:szCs w:val="24"/>
        </w:rPr>
        <w:t>a </w:t>
      </w:r>
      <w:r w:rsidRPr="00867AEC">
        <w:rPr>
          <w:i/>
          <w:sz w:val="24"/>
          <w:szCs w:val="24"/>
        </w:rPr>
        <w:t>posteriori</w:t>
      </w:r>
      <w:r w:rsidR="00511927" w:rsidRPr="00867AEC">
        <w:rPr>
          <w:sz w:val="24"/>
          <w:szCs w:val="24"/>
        </w:rPr>
        <w:t xml:space="preserve"> </w:t>
      </w:r>
      <w:r w:rsidR="00867AEC">
        <w:rPr>
          <w:sz w:val="24"/>
          <w:szCs w:val="24"/>
        </w:rPr>
        <w:t xml:space="preserve">i </w:t>
      </w:r>
      <w:r w:rsidR="00867AEC">
        <w:rPr>
          <w:i/>
          <w:sz w:val="24"/>
          <w:szCs w:val="24"/>
        </w:rPr>
        <w:t>a priori</w:t>
      </w:r>
      <w:r w:rsidR="002545E9">
        <w:rPr>
          <w:i/>
          <w:sz w:val="24"/>
          <w:szCs w:val="24"/>
        </w:rPr>
        <w:t xml:space="preserve"> </w:t>
      </w:r>
      <w:r w:rsidR="002545E9" w:rsidRPr="00FE604D">
        <w:rPr>
          <w:sz w:val="24"/>
          <w:szCs w:val="24"/>
        </w:rPr>
        <w:t>(na tym samym wykresie)</w:t>
      </w:r>
      <w:r w:rsidR="00867AEC">
        <w:rPr>
          <w:sz w:val="24"/>
          <w:szCs w:val="24"/>
        </w:rPr>
        <w:t>.</w:t>
      </w:r>
    </w:p>
    <w:p w:rsidR="00D44D5F" w:rsidRDefault="00867AEC" w:rsidP="000C00CE">
      <w:pPr>
        <w:spacing w:after="120"/>
        <w:ind w:left="709"/>
        <w:rPr>
          <w:sz w:val="24"/>
          <w:szCs w:val="24"/>
        </w:rPr>
      </w:pPr>
      <w:r w:rsidRPr="00867AEC">
        <w:rPr>
          <w:b/>
          <w:sz w:val="24"/>
          <w:szCs w:val="24"/>
        </w:rPr>
        <w:t>Uwaga</w:t>
      </w:r>
      <w:r w:rsidR="00D44D5F">
        <w:rPr>
          <w:b/>
          <w:sz w:val="24"/>
          <w:szCs w:val="24"/>
        </w:rPr>
        <w:t xml:space="preserve"> 2</w:t>
      </w:r>
      <w:r w:rsidRPr="00867AE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52BEC">
        <w:rPr>
          <w:sz w:val="24"/>
          <w:szCs w:val="24"/>
        </w:rPr>
        <w:t xml:space="preserve">W celu ustalenia </w:t>
      </w:r>
      <w:r w:rsidR="00952BEC" w:rsidRPr="00867AEC">
        <w:rPr>
          <w:sz w:val="24"/>
          <w:szCs w:val="24"/>
          <w:u w:val="single"/>
        </w:rPr>
        <w:t>zakresu wartości na osi OX</w:t>
      </w:r>
      <w:r w:rsidR="00952BEC">
        <w:rPr>
          <w:sz w:val="24"/>
          <w:szCs w:val="24"/>
        </w:rPr>
        <w:t xml:space="preserve"> tego wykresu, możesz przyjąć regułę, że zakres ten stanowi przedział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-4D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, E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+4D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d>
          </m:e>
        </m:d>
      </m:oMath>
      <w:r w:rsidR="00181457">
        <w:rPr>
          <w:rFonts w:eastAsiaTheme="minorEastAsia"/>
          <w:sz w:val="24"/>
          <w:szCs w:val="24"/>
        </w:rPr>
        <w:t>, z końcami zaokrąglonymi do np. 2-3 miejsc po przecinku. Przedział ten można następnie podzielić np. na 100 lub więcej równych odcinków, w ten sposób wyznaczając w arkuszu „siatkę punktów”</w:t>
      </w:r>
      <w:r w:rsidR="00207E37">
        <w:rPr>
          <w:rFonts w:eastAsiaTheme="minorEastAsia"/>
          <w:sz w:val="24"/>
          <w:szCs w:val="24"/>
        </w:rPr>
        <w:t xml:space="preserve"> (w postaci kolumny</w:t>
      </w:r>
      <w:r w:rsidR="00181457">
        <w:rPr>
          <w:rFonts w:eastAsiaTheme="minorEastAsia"/>
          <w:sz w:val="24"/>
          <w:szCs w:val="24"/>
        </w:rPr>
        <w:t>) wartości parametru</w:t>
      </w:r>
      <w:r w:rsidR="00207E37">
        <w:rPr>
          <w:rFonts w:eastAsiaTheme="minorEastAsia"/>
          <w:sz w:val="24"/>
          <w:szCs w:val="24"/>
        </w:rPr>
        <w:t>,</w:t>
      </w:r>
      <w:r w:rsidR="00181457">
        <w:rPr>
          <w:rFonts w:eastAsiaTheme="minorEastAsia"/>
          <w:sz w:val="24"/>
          <w:szCs w:val="24"/>
        </w:rPr>
        <w:t xml:space="preserve"> w</w:t>
      </w:r>
      <w:r w:rsidR="00207E37">
        <w:rPr>
          <w:rFonts w:eastAsiaTheme="minorEastAsia"/>
          <w:sz w:val="24"/>
          <w:szCs w:val="24"/>
        </w:rPr>
        <w:t> </w:t>
      </w:r>
      <w:r w:rsidR="00181457">
        <w:rPr>
          <w:rFonts w:eastAsiaTheme="minorEastAsia"/>
          <w:sz w:val="24"/>
          <w:szCs w:val="24"/>
        </w:rPr>
        <w:t xml:space="preserve">których zostaną obliczone wartości funkcji gęstości rozkładów </w:t>
      </w:r>
      <w:r w:rsidR="00181457">
        <w:rPr>
          <w:rFonts w:eastAsiaTheme="minorEastAsia"/>
          <w:i/>
          <w:sz w:val="24"/>
          <w:szCs w:val="24"/>
        </w:rPr>
        <w:t>a posteriori</w:t>
      </w:r>
      <w:r w:rsidR="00181457">
        <w:rPr>
          <w:rFonts w:eastAsiaTheme="minorEastAsia"/>
          <w:sz w:val="24"/>
          <w:szCs w:val="24"/>
        </w:rPr>
        <w:t xml:space="preserve"> i </w:t>
      </w:r>
      <w:r w:rsidR="00181457">
        <w:rPr>
          <w:rFonts w:eastAsiaTheme="minorEastAsia"/>
          <w:i/>
          <w:sz w:val="24"/>
          <w:szCs w:val="24"/>
        </w:rPr>
        <w:t>a priori</w:t>
      </w:r>
      <w:r w:rsidR="00181457">
        <w:rPr>
          <w:rFonts w:eastAsiaTheme="minorEastAsia"/>
          <w:sz w:val="24"/>
          <w:szCs w:val="24"/>
        </w:rPr>
        <w:t xml:space="preserve"> (w centrum wykresu będzie się znajdował rozkład </w:t>
      </w:r>
      <w:r w:rsidR="00181457">
        <w:rPr>
          <w:rFonts w:eastAsiaTheme="minorEastAsia"/>
          <w:i/>
          <w:sz w:val="24"/>
          <w:szCs w:val="24"/>
        </w:rPr>
        <w:t>a posteriori</w:t>
      </w:r>
      <w:r w:rsidR="00181457">
        <w:rPr>
          <w:rFonts w:eastAsiaTheme="minorEastAsia"/>
          <w:sz w:val="24"/>
          <w:szCs w:val="24"/>
        </w:rPr>
        <w:t xml:space="preserve">, zaś to, na ile rozkład </w:t>
      </w:r>
      <w:r w:rsidR="00181457">
        <w:rPr>
          <w:rFonts w:eastAsiaTheme="minorEastAsia"/>
          <w:i/>
          <w:sz w:val="24"/>
          <w:szCs w:val="24"/>
        </w:rPr>
        <w:t>a priori</w:t>
      </w:r>
      <w:r w:rsidR="00181457">
        <w:rPr>
          <w:rFonts w:eastAsiaTheme="minorEastAsia"/>
          <w:sz w:val="24"/>
          <w:szCs w:val="24"/>
        </w:rPr>
        <w:t xml:space="preserve"> będzie widoczny na tym wykresie, zależeć będzie od tego, jak daleko jest on ulokowany w stosunku do rozkładu </w:t>
      </w:r>
      <w:r w:rsidR="00181457">
        <w:rPr>
          <w:rFonts w:eastAsiaTheme="minorEastAsia"/>
          <w:i/>
          <w:sz w:val="24"/>
          <w:szCs w:val="24"/>
        </w:rPr>
        <w:t>a posteriori</w:t>
      </w:r>
      <w:r w:rsidR="00181457">
        <w:rPr>
          <w:rFonts w:eastAsiaTheme="minorEastAsia"/>
          <w:sz w:val="24"/>
          <w:szCs w:val="24"/>
        </w:rPr>
        <w:t>)</w:t>
      </w:r>
      <w:r w:rsidR="00207E37">
        <w:rPr>
          <w:rFonts w:eastAsiaTheme="minorEastAsia"/>
          <w:sz w:val="24"/>
          <w:szCs w:val="24"/>
        </w:rPr>
        <w:t>. W każdym punkcie tej „siatki” należy obliczyć wartości funkcji gęstości stosownych rozkładów.</w:t>
      </w:r>
    </w:p>
    <w:p w:rsidR="00856F0E" w:rsidRPr="00FE604D" w:rsidRDefault="00856F0E" w:rsidP="000C00CE">
      <w:pPr>
        <w:spacing w:after="120"/>
        <w:ind w:left="709"/>
        <w:rPr>
          <w:sz w:val="24"/>
          <w:szCs w:val="24"/>
        </w:rPr>
      </w:pPr>
      <w:r w:rsidRPr="00FE604D">
        <w:rPr>
          <w:b/>
          <w:sz w:val="24"/>
          <w:szCs w:val="24"/>
        </w:rPr>
        <w:t>Uwaga</w:t>
      </w:r>
      <w:r w:rsidR="00D44D5F">
        <w:rPr>
          <w:b/>
          <w:sz w:val="24"/>
          <w:szCs w:val="24"/>
        </w:rPr>
        <w:t xml:space="preserve"> 3</w:t>
      </w:r>
      <w:r w:rsidRPr="00FE604D">
        <w:rPr>
          <w:sz w:val="24"/>
          <w:szCs w:val="24"/>
        </w:rPr>
        <w:t xml:space="preserve">: </w:t>
      </w:r>
      <w:r w:rsidR="00D44D5F">
        <w:rPr>
          <w:sz w:val="24"/>
          <w:szCs w:val="24"/>
        </w:rPr>
        <w:t>O</w:t>
      </w:r>
      <w:r w:rsidR="00481071">
        <w:rPr>
          <w:sz w:val="24"/>
          <w:szCs w:val="24"/>
        </w:rPr>
        <w:t xml:space="preserve"> ile wartości funkcji gęstości rozkładu gamma można obliczyć w MS Excel za pomocą dostępnej tam f</w:t>
      </w:r>
      <w:r w:rsidR="00850CCE">
        <w:rPr>
          <w:sz w:val="24"/>
          <w:szCs w:val="24"/>
        </w:rPr>
        <w:t>unkcji</w:t>
      </w:r>
      <w:r w:rsidR="00481071">
        <w:rPr>
          <w:sz w:val="24"/>
          <w:szCs w:val="24"/>
        </w:rPr>
        <w:t>, o tyle nie</w:t>
      </w:r>
      <w:r w:rsidR="008F53AF">
        <w:rPr>
          <w:sz w:val="24"/>
          <w:szCs w:val="24"/>
        </w:rPr>
        <w:t xml:space="preserve"> ma w arkuszu </w:t>
      </w:r>
      <w:r w:rsidR="00481071">
        <w:rPr>
          <w:sz w:val="24"/>
          <w:szCs w:val="24"/>
        </w:rPr>
        <w:t>funkcji obliczającej wartość gęstości</w:t>
      </w:r>
      <w:r w:rsidRPr="00FE604D">
        <w:rPr>
          <w:sz w:val="24"/>
          <w:szCs w:val="24"/>
        </w:rPr>
        <w:t xml:space="preserve"> 1-wymiarowego rozkładu t-Studenta </w:t>
      </w:r>
      <m:oMath>
        <m:r>
          <w:rPr>
            <w:rFonts w:ascii="Cambria Math" w:hAnsi="Cambria Math"/>
            <w:sz w:val="24"/>
            <w:szCs w:val="24"/>
          </w:rPr>
          <m:t>St(m, p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ν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FE604D">
        <w:rPr>
          <w:rFonts w:eastAsiaTheme="minorEastAsia"/>
          <w:sz w:val="24"/>
          <w:szCs w:val="24"/>
        </w:rPr>
        <w:t>, gdzie</w:t>
      </w:r>
      <w:r w:rsidR="00D44D5F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FE604D">
        <w:rPr>
          <w:rFonts w:eastAsiaTheme="minorEastAsia"/>
          <w:sz w:val="24"/>
          <w:szCs w:val="24"/>
        </w:rPr>
        <w:t xml:space="preserve"> </w:t>
      </w:r>
      <w:r w:rsidR="00850CCE">
        <w:rPr>
          <w:rFonts w:eastAsiaTheme="minorEastAsia"/>
          <w:sz w:val="24"/>
          <w:szCs w:val="24"/>
        </w:rPr>
        <w:t>oznacza</w:t>
      </w:r>
      <w:r w:rsidR="00D44D5F">
        <w:rPr>
          <w:rFonts w:eastAsiaTheme="minorEastAsia"/>
          <w:sz w:val="24"/>
          <w:szCs w:val="24"/>
        </w:rPr>
        <w:t xml:space="preserve"> </w:t>
      </w:r>
      <w:r w:rsidRPr="00FE604D">
        <w:rPr>
          <w:rFonts w:eastAsiaTheme="minorEastAsia"/>
          <w:sz w:val="24"/>
          <w:szCs w:val="24"/>
        </w:rPr>
        <w:t xml:space="preserve">parametr niecentralności (modalną),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850CCE" w:rsidRPr="00FE604D">
        <w:rPr>
          <w:rFonts w:eastAsiaTheme="minorEastAsia"/>
          <w:sz w:val="24"/>
          <w:szCs w:val="24"/>
        </w:rPr>
        <w:t xml:space="preserve"> – precyzję</w:t>
      </w:r>
      <w:r w:rsidR="00850CCE">
        <w:rPr>
          <w:rFonts w:eastAsiaTheme="minorEastAsia"/>
          <w:sz w:val="24"/>
          <w:szCs w:val="24"/>
        </w:rPr>
        <w:t xml:space="preserve">, </w:t>
      </w:r>
      <w:r w:rsidR="00D44D5F">
        <w:rPr>
          <w:rFonts w:eastAsiaTheme="minorEastAsia"/>
          <w:sz w:val="24"/>
          <w:szCs w:val="24"/>
        </w:rPr>
        <w:t>zaś</w:t>
      </w:r>
      <w:r w:rsidR="00850CCE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</m:oMath>
      <w:r w:rsidR="00850CCE" w:rsidRPr="00FE604D">
        <w:rPr>
          <w:rFonts w:eastAsiaTheme="minorEastAsia"/>
          <w:sz w:val="24"/>
          <w:szCs w:val="24"/>
        </w:rPr>
        <w:t xml:space="preserve"> </w:t>
      </w:r>
      <w:r w:rsidR="00850CCE">
        <w:rPr>
          <w:rFonts w:eastAsiaTheme="minorEastAsia"/>
          <w:sz w:val="24"/>
          <w:szCs w:val="24"/>
        </w:rPr>
        <w:t xml:space="preserve">– </w:t>
      </w:r>
      <w:r w:rsidR="00850CCE">
        <w:rPr>
          <w:rFonts w:eastAsiaTheme="minorEastAsia"/>
          <w:sz w:val="24"/>
          <w:szCs w:val="24"/>
        </w:rPr>
        <w:t>liczbę</w:t>
      </w:r>
      <w:r w:rsidR="00850CCE" w:rsidRPr="00FE604D">
        <w:rPr>
          <w:rFonts w:eastAsiaTheme="minorEastAsia"/>
          <w:sz w:val="24"/>
          <w:szCs w:val="24"/>
        </w:rPr>
        <w:t xml:space="preserve"> stopni swobody (</w:t>
      </w:r>
      <m:oMath>
        <m:r>
          <w:rPr>
            <w:rFonts w:ascii="Cambria Math" w:eastAsiaTheme="minorEastAsia" w:hAnsi="Cambria Math"/>
            <w:sz w:val="24"/>
            <w:szCs w:val="24"/>
          </w:rPr>
          <m:t>ν&gt;0</m:t>
        </m:r>
      </m:oMath>
      <w:r w:rsidR="00850CCE" w:rsidRPr="00FE604D">
        <w:rPr>
          <w:rFonts w:eastAsiaTheme="minorEastAsia"/>
          <w:sz w:val="24"/>
          <w:szCs w:val="24"/>
        </w:rPr>
        <w:t>)</w:t>
      </w:r>
      <w:r w:rsidR="00481071">
        <w:rPr>
          <w:rFonts w:eastAsiaTheme="minorEastAsia"/>
          <w:sz w:val="24"/>
          <w:szCs w:val="24"/>
        </w:rPr>
        <w:t xml:space="preserve">. Dlatego wartości </w:t>
      </w:r>
      <w:r w:rsidR="004F1130">
        <w:rPr>
          <w:rFonts w:eastAsiaTheme="minorEastAsia"/>
          <w:sz w:val="24"/>
          <w:szCs w:val="24"/>
        </w:rPr>
        <w:t xml:space="preserve">funkcji </w:t>
      </w:r>
      <w:r w:rsidR="00481071">
        <w:rPr>
          <w:rFonts w:eastAsiaTheme="minorEastAsia"/>
          <w:sz w:val="24"/>
          <w:szCs w:val="24"/>
        </w:rPr>
        <w:t>gęstości tego rozkładu należy obliczyć wprowadz</w:t>
      </w:r>
      <w:r w:rsidR="008F53AF">
        <w:rPr>
          <w:rFonts w:eastAsiaTheme="minorEastAsia"/>
          <w:sz w:val="24"/>
          <w:szCs w:val="24"/>
        </w:rPr>
        <w:t>a</w:t>
      </w:r>
      <w:r w:rsidR="00481071">
        <w:rPr>
          <w:rFonts w:eastAsiaTheme="minorEastAsia"/>
          <w:sz w:val="24"/>
          <w:szCs w:val="24"/>
        </w:rPr>
        <w:t>jąc</w:t>
      </w:r>
      <w:r w:rsidR="00CD0654">
        <w:rPr>
          <w:rFonts w:eastAsiaTheme="minorEastAsia"/>
          <w:sz w:val="24"/>
          <w:szCs w:val="24"/>
        </w:rPr>
        <w:t xml:space="preserve"> </w:t>
      </w:r>
      <w:r w:rsidR="008F53AF">
        <w:rPr>
          <w:rFonts w:eastAsiaTheme="minorEastAsia"/>
          <w:sz w:val="24"/>
          <w:szCs w:val="24"/>
        </w:rPr>
        <w:t>„ręcznie” do komórki wzór:</w:t>
      </w:r>
    </w:p>
    <w:p w:rsidR="00856F0E" w:rsidRPr="00FE604D" w:rsidRDefault="005502F1" w:rsidP="00FE604D">
      <w:pPr>
        <w:spacing w:after="120"/>
        <w:ind w:left="156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St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e>
            <m:r>
              <w:rPr>
                <w:rFonts w:ascii="Cambria Math" w:hAnsi="Cambria Math"/>
                <w:sz w:val="24"/>
                <w:szCs w:val="24"/>
              </w:rPr>
              <m:t>m, p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</w:rPr>
              <m:t>ν</m:t>
            </m:r>
            <w:bookmarkStart w:id="0" w:name="_GoBack"/>
            <w:bookmarkEnd w:id="0"/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νπ</m:t>
                </m:r>
              </m:e>
            </m:rad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x-m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ν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ν+1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2D57BD" w:rsidRPr="00FE604D">
        <w:rPr>
          <w:rFonts w:eastAsiaTheme="minorEastAsia"/>
          <w:sz w:val="24"/>
          <w:szCs w:val="24"/>
        </w:rPr>
        <w:t>,</w:t>
      </w:r>
      <w:r w:rsidR="002D57BD" w:rsidRPr="00FE604D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</m:t>
        </m:r>
      </m:oMath>
    </w:p>
    <w:p w:rsidR="005E6738" w:rsidRPr="000C00CE" w:rsidRDefault="008F48D5" w:rsidP="000C00CE">
      <w:pPr>
        <w:pStyle w:val="Akapitzlist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Zweryfikuj statystyczną istotność poszczególnych parametrów strukturalnych</w:t>
      </w:r>
      <w:r w:rsidR="00CD7641">
        <w:rPr>
          <w:sz w:val="24"/>
          <w:szCs w:val="24"/>
        </w:rPr>
        <w:t>.</w:t>
      </w:r>
    </w:p>
    <w:sectPr w:rsidR="005E6738" w:rsidRPr="000C00CE" w:rsidSect="00FE604D">
      <w:headerReference w:type="default" r:id="rId8"/>
      <w:pgSz w:w="11906" w:h="16838"/>
      <w:pgMar w:top="284" w:right="284" w:bottom="284" w:left="28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F1" w:rsidRDefault="005502F1" w:rsidP="00D27A12">
      <w:pPr>
        <w:spacing w:after="0" w:line="240" w:lineRule="auto"/>
      </w:pPr>
      <w:r>
        <w:separator/>
      </w:r>
    </w:p>
  </w:endnote>
  <w:endnote w:type="continuationSeparator" w:id="0">
    <w:p w:rsidR="005502F1" w:rsidRDefault="005502F1" w:rsidP="00D2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F1" w:rsidRDefault="005502F1" w:rsidP="00D27A12">
      <w:pPr>
        <w:spacing w:after="0" w:line="240" w:lineRule="auto"/>
      </w:pPr>
      <w:r>
        <w:separator/>
      </w:r>
    </w:p>
  </w:footnote>
  <w:footnote w:type="continuationSeparator" w:id="0">
    <w:p w:rsidR="005502F1" w:rsidRDefault="005502F1" w:rsidP="00D2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12" w:rsidRPr="00D27A12" w:rsidRDefault="00D27A12">
    <w:pPr>
      <w:pStyle w:val="Nagwek"/>
      <w:rPr>
        <w:i/>
      </w:rPr>
    </w:pPr>
    <w:r w:rsidRPr="00D27A12">
      <w:rPr>
        <w:i/>
      </w:rPr>
      <w:t>Wnioskowanie bayesowskie w ekonomii empirycznej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480"/>
    <w:multiLevelType w:val="hybridMultilevel"/>
    <w:tmpl w:val="4DD66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75C61"/>
    <w:multiLevelType w:val="hybridMultilevel"/>
    <w:tmpl w:val="A1B8A848"/>
    <w:lvl w:ilvl="0" w:tplc="101E9CF6">
      <w:start w:val="1"/>
      <w:numFmt w:val="upp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CF0924"/>
    <w:multiLevelType w:val="hybridMultilevel"/>
    <w:tmpl w:val="93DA77F4"/>
    <w:lvl w:ilvl="0" w:tplc="0D6A037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2"/>
    <w:rsid w:val="000164B4"/>
    <w:rsid w:val="00017557"/>
    <w:rsid w:val="000C00CE"/>
    <w:rsid w:val="00132552"/>
    <w:rsid w:val="00181457"/>
    <w:rsid w:val="0018333F"/>
    <w:rsid w:val="001876CE"/>
    <w:rsid w:val="001A41A4"/>
    <w:rsid w:val="00207E37"/>
    <w:rsid w:val="002274DD"/>
    <w:rsid w:val="00244A33"/>
    <w:rsid w:val="00251AE1"/>
    <w:rsid w:val="002545E9"/>
    <w:rsid w:val="00292621"/>
    <w:rsid w:val="002A7BED"/>
    <w:rsid w:val="002C6BD7"/>
    <w:rsid w:val="002D57BD"/>
    <w:rsid w:val="002E63D9"/>
    <w:rsid w:val="002E6BDC"/>
    <w:rsid w:val="003038EC"/>
    <w:rsid w:val="0033249F"/>
    <w:rsid w:val="003332DA"/>
    <w:rsid w:val="003E0775"/>
    <w:rsid w:val="004051C6"/>
    <w:rsid w:val="00481071"/>
    <w:rsid w:val="004C1909"/>
    <w:rsid w:val="004F1130"/>
    <w:rsid w:val="00511927"/>
    <w:rsid w:val="005311B6"/>
    <w:rsid w:val="005502F1"/>
    <w:rsid w:val="00590E32"/>
    <w:rsid w:val="005A7920"/>
    <w:rsid w:val="005B318D"/>
    <w:rsid w:val="005E6738"/>
    <w:rsid w:val="005F6A3E"/>
    <w:rsid w:val="00633526"/>
    <w:rsid w:val="0065067E"/>
    <w:rsid w:val="00654628"/>
    <w:rsid w:val="0070520E"/>
    <w:rsid w:val="00727B4C"/>
    <w:rsid w:val="00736B63"/>
    <w:rsid w:val="00795846"/>
    <w:rsid w:val="007B74DD"/>
    <w:rsid w:val="008078F3"/>
    <w:rsid w:val="008341D1"/>
    <w:rsid w:val="00850CCE"/>
    <w:rsid w:val="00856F0E"/>
    <w:rsid w:val="00867AEC"/>
    <w:rsid w:val="008A44F2"/>
    <w:rsid w:val="008F48D5"/>
    <w:rsid w:val="008F53AF"/>
    <w:rsid w:val="00927CB2"/>
    <w:rsid w:val="00930EA2"/>
    <w:rsid w:val="00946D61"/>
    <w:rsid w:val="00952BEC"/>
    <w:rsid w:val="00971E55"/>
    <w:rsid w:val="009C41E5"/>
    <w:rsid w:val="00A34E53"/>
    <w:rsid w:val="00AA6821"/>
    <w:rsid w:val="00B328EB"/>
    <w:rsid w:val="00B56DD3"/>
    <w:rsid w:val="00B57DDF"/>
    <w:rsid w:val="00BB7783"/>
    <w:rsid w:val="00BC7686"/>
    <w:rsid w:val="00C73CFB"/>
    <w:rsid w:val="00C85310"/>
    <w:rsid w:val="00CD0654"/>
    <w:rsid w:val="00CD7641"/>
    <w:rsid w:val="00CE1687"/>
    <w:rsid w:val="00D27A12"/>
    <w:rsid w:val="00D36F12"/>
    <w:rsid w:val="00D44D5F"/>
    <w:rsid w:val="00D66064"/>
    <w:rsid w:val="00D67C9F"/>
    <w:rsid w:val="00DD780E"/>
    <w:rsid w:val="00E04485"/>
    <w:rsid w:val="00E15313"/>
    <w:rsid w:val="00E660FF"/>
    <w:rsid w:val="00EE6BEB"/>
    <w:rsid w:val="00F26708"/>
    <w:rsid w:val="00F76C88"/>
    <w:rsid w:val="00F9366C"/>
    <w:rsid w:val="00FB0087"/>
    <w:rsid w:val="00FB3B62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12"/>
  </w:style>
  <w:style w:type="paragraph" w:styleId="Stopka">
    <w:name w:val="footer"/>
    <w:basedOn w:val="Normalny"/>
    <w:link w:val="StopkaZnak"/>
    <w:uiPriority w:val="99"/>
    <w:unhideWhenUsed/>
    <w:rsid w:val="00D2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12"/>
  </w:style>
  <w:style w:type="paragraph" w:styleId="Akapitzlist">
    <w:name w:val="List Paragraph"/>
    <w:basedOn w:val="Normalny"/>
    <w:uiPriority w:val="34"/>
    <w:qFormat/>
    <w:rsid w:val="0001755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755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12"/>
  </w:style>
  <w:style w:type="paragraph" w:styleId="Stopka">
    <w:name w:val="footer"/>
    <w:basedOn w:val="Normalny"/>
    <w:link w:val="StopkaZnak"/>
    <w:uiPriority w:val="99"/>
    <w:unhideWhenUsed/>
    <w:rsid w:val="00D27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12"/>
  </w:style>
  <w:style w:type="paragraph" w:styleId="Akapitzlist">
    <w:name w:val="List Paragraph"/>
    <w:basedOn w:val="Normalny"/>
    <w:uiPriority w:val="34"/>
    <w:qFormat/>
    <w:rsid w:val="0001755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755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Kwiatkowski</dc:creator>
  <cp:lastModifiedBy>L</cp:lastModifiedBy>
  <cp:revision>25</cp:revision>
  <dcterms:created xsi:type="dcterms:W3CDTF">2021-01-07T13:48:00Z</dcterms:created>
  <dcterms:modified xsi:type="dcterms:W3CDTF">2023-12-03T08:42:00Z</dcterms:modified>
</cp:coreProperties>
</file>